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250" w:type="dxa"/>
        <w:tblInd w:w="-1005"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11250"/>
      </w:tblGrid>
      <w:tr w:rsidR="00AF603C" w:rsidRPr="0061663C" w14:paraId="0DD4AF3B" w14:textId="77777777" w:rsidTr="00637158">
        <w:trPr>
          <w:trHeight w:val="600"/>
        </w:trPr>
        <w:tc>
          <w:tcPr>
            <w:tcW w:w="11250" w:type="dxa"/>
          </w:tcPr>
          <w:p w14:paraId="00E2E02D" w14:textId="3B5C0FAE" w:rsidR="00AF603C" w:rsidRPr="0061663C" w:rsidRDefault="00AF603C" w:rsidP="00C455B7">
            <w:pPr>
              <w:spacing w:after="240"/>
              <w:jc w:val="center"/>
              <w:rPr>
                <w:rFonts w:ascii="Arial" w:hAnsi="Arial" w:cs="Arial"/>
                <w:b/>
                <w:sz w:val="4"/>
                <w:szCs w:val="4"/>
              </w:rPr>
            </w:pPr>
          </w:p>
          <w:p w14:paraId="4E7C339B" w14:textId="5B917F40" w:rsidR="00693789" w:rsidRPr="0061663C" w:rsidRDefault="00AF603C" w:rsidP="00693789">
            <w:pPr>
              <w:spacing w:after="240"/>
              <w:jc w:val="center"/>
              <w:rPr>
                <w:rFonts w:ascii="Arial" w:hAnsi="Arial" w:cs="Arial"/>
                <w:b/>
              </w:rPr>
            </w:pPr>
            <w:r w:rsidRPr="0061663C">
              <w:rPr>
                <w:rFonts w:ascii="Arial" w:hAnsi="Arial" w:cs="Arial"/>
                <w:b/>
              </w:rPr>
              <w:t>REQUEST FOR QUOTATION No. RFQ/HCR/SUP/MENA/2026/001 FOR THE PROVISION OF HIGH-PERFORMANCE COMPUTING (HPC)</w:t>
            </w:r>
            <w:r w:rsidR="00693789" w:rsidRPr="0061663C">
              <w:rPr>
                <w:rFonts w:ascii="Arial" w:hAnsi="Arial" w:cs="Arial"/>
                <w:b/>
              </w:rPr>
              <w:t>, NETWORKING, AND SERVER</w:t>
            </w:r>
            <w:r w:rsidRPr="0061663C">
              <w:rPr>
                <w:rFonts w:ascii="Arial" w:hAnsi="Arial" w:cs="Arial"/>
                <w:b/>
              </w:rPr>
              <w:t xml:space="preserve"> EQUIPMENTS</w:t>
            </w:r>
            <w:r w:rsidR="00693789" w:rsidRPr="0061663C">
              <w:rPr>
                <w:rFonts w:ascii="Arial" w:hAnsi="Arial" w:cs="Arial"/>
                <w:b/>
              </w:rPr>
              <w:t>.</w:t>
            </w:r>
          </w:p>
        </w:tc>
      </w:tr>
      <w:tr w:rsidR="00AF603C" w:rsidRPr="0061663C" w14:paraId="195E4669" w14:textId="77777777" w:rsidTr="00637158">
        <w:trPr>
          <w:trHeight w:val="691"/>
        </w:trPr>
        <w:tc>
          <w:tcPr>
            <w:tcW w:w="11250" w:type="dxa"/>
          </w:tcPr>
          <w:p w14:paraId="33532FD1" w14:textId="42441670" w:rsidR="00AF603C" w:rsidRPr="0061663C" w:rsidRDefault="00AF603C" w:rsidP="00A85545">
            <w:pPr>
              <w:spacing w:after="0" w:line="240" w:lineRule="auto"/>
              <w:jc w:val="center"/>
              <w:rPr>
                <w:rFonts w:ascii="Calibri" w:eastAsia="Times New Roman" w:hAnsi="Calibri" w:cs="Calibri"/>
                <w:b/>
                <w:bCs/>
                <w:sz w:val="52"/>
                <w:szCs w:val="52"/>
              </w:rPr>
            </w:pPr>
            <w:r w:rsidRPr="0061663C">
              <w:rPr>
                <w:rFonts w:ascii="Calibri" w:eastAsia="Times New Roman" w:hAnsi="Calibri" w:cs="Calibri"/>
                <w:b/>
                <w:bCs/>
                <w:sz w:val="52"/>
                <w:szCs w:val="52"/>
              </w:rPr>
              <w:t xml:space="preserve">Annex A – Technical Specifications </w:t>
            </w:r>
          </w:p>
        </w:tc>
      </w:tr>
    </w:tbl>
    <w:p w14:paraId="42BC73DD" w14:textId="77777777" w:rsidR="00484956" w:rsidRPr="0061663C" w:rsidRDefault="00484956" w:rsidP="00D71B8F">
      <w:pPr>
        <w:spacing w:after="0"/>
        <w:rPr>
          <w:sz w:val="10"/>
          <w:szCs w:val="10"/>
          <w:rtl/>
        </w:rPr>
      </w:pPr>
    </w:p>
    <w:tbl>
      <w:tblPr>
        <w:tblW w:w="11250" w:type="dxa"/>
        <w:tblInd w:w="-1000" w:type="dxa"/>
        <w:tblLayout w:type="fixed"/>
        <w:tblLook w:val="04A0" w:firstRow="1" w:lastRow="0" w:firstColumn="1" w:lastColumn="0" w:noHBand="0" w:noVBand="1"/>
      </w:tblPr>
      <w:tblGrid>
        <w:gridCol w:w="270"/>
        <w:gridCol w:w="2700"/>
        <w:gridCol w:w="1620"/>
        <w:gridCol w:w="4770"/>
        <w:gridCol w:w="1890"/>
      </w:tblGrid>
      <w:tr w:rsidR="00A06A99" w:rsidRPr="0061663C" w14:paraId="4D6C9017" w14:textId="77777777" w:rsidTr="00637158">
        <w:trPr>
          <w:trHeight w:val="315"/>
        </w:trPr>
        <w:tc>
          <w:tcPr>
            <w:tcW w:w="270" w:type="dxa"/>
            <w:tcBorders>
              <w:top w:val="single" w:sz="8" w:space="0" w:color="auto"/>
              <w:left w:val="single" w:sz="8" w:space="0" w:color="auto"/>
              <w:bottom w:val="single" w:sz="8" w:space="0" w:color="auto"/>
              <w:right w:val="single" w:sz="8" w:space="0" w:color="auto"/>
            </w:tcBorders>
            <w:noWrap/>
            <w:vAlign w:val="center"/>
            <w:hideMark/>
          </w:tcPr>
          <w:p w14:paraId="35B14DD3" w14:textId="77777777" w:rsidR="00A06A99" w:rsidRPr="0061663C" w:rsidRDefault="00A06A99" w:rsidP="00A06A99">
            <w:pPr>
              <w:spacing w:after="0" w:line="240" w:lineRule="auto"/>
              <w:jc w:val="center"/>
              <w:rPr>
                <w:rFonts w:ascii="Aptos Narrow" w:eastAsia="Times New Roman" w:hAnsi="Aptos Narrow" w:cs="Times New Roman"/>
                <w:b/>
                <w:bCs/>
              </w:rPr>
            </w:pPr>
            <w:r w:rsidRPr="0061663C">
              <w:rPr>
                <w:rFonts w:ascii="Aptos Narrow" w:eastAsia="Times New Roman" w:hAnsi="Aptos Narrow" w:cs="Times New Roman"/>
                <w:b/>
                <w:bCs/>
              </w:rPr>
              <w:t>#</w:t>
            </w:r>
          </w:p>
        </w:tc>
        <w:tc>
          <w:tcPr>
            <w:tcW w:w="2700" w:type="dxa"/>
            <w:tcBorders>
              <w:top w:val="single" w:sz="8" w:space="0" w:color="auto"/>
              <w:left w:val="nil"/>
              <w:bottom w:val="single" w:sz="8" w:space="0" w:color="auto"/>
              <w:right w:val="single" w:sz="8" w:space="0" w:color="auto"/>
            </w:tcBorders>
            <w:noWrap/>
            <w:vAlign w:val="center"/>
            <w:hideMark/>
          </w:tcPr>
          <w:p w14:paraId="6E036B1F" w14:textId="77777777" w:rsidR="00A06A99" w:rsidRPr="0061663C" w:rsidRDefault="00A06A99" w:rsidP="00A06A99">
            <w:pPr>
              <w:spacing w:after="0" w:line="240" w:lineRule="auto"/>
              <w:jc w:val="center"/>
              <w:rPr>
                <w:rFonts w:ascii="Aptos Narrow" w:eastAsia="Times New Roman" w:hAnsi="Aptos Narrow" w:cs="Times New Roman"/>
                <w:b/>
                <w:bCs/>
              </w:rPr>
            </w:pPr>
            <w:r w:rsidRPr="0061663C">
              <w:rPr>
                <w:rFonts w:ascii="Aptos Narrow" w:eastAsia="Times New Roman" w:hAnsi="Aptos Narrow" w:cs="Times New Roman"/>
                <w:b/>
                <w:bCs/>
              </w:rPr>
              <w:t>Item Description</w:t>
            </w:r>
          </w:p>
        </w:tc>
        <w:tc>
          <w:tcPr>
            <w:tcW w:w="1620" w:type="dxa"/>
            <w:tcBorders>
              <w:top w:val="single" w:sz="8" w:space="0" w:color="auto"/>
              <w:left w:val="nil"/>
              <w:bottom w:val="single" w:sz="8" w:space="0" w:color="auto"/>
              <w:right w:val="single" w:sz="8" w:space="0" w:color="auto"/>
            </w:tcBorders>
            <w:noWrap/>
            <w:vAlign w:val="center"/>
            <w:hideMark/>
          </w:tcPr>
          <w:p w14:paraId="14316B71" w14:textId="77777777" w:rsidR="00A06A99" w:rsidRPr="0061663C" w:rsidRDefault="00A06A99" w:rsidP="00A06A99">
            <w:pPr>
              <w:spacing w:after="0" w:line="240" w:lineRule="auto"/>
              <w:jc w:val="center"/>
              <w:rPr>
                <w:rFonts w:ascii="Aptos Narrow" w:eastAsia="Times New Roman" w:hAnsi="Aptos Narrow" w:cs="Times New Roman"/>
                <w:b/>
                <w:bCs/>
              </w:rPr>
            </w:pPr>
            <w:r w:rsidRPr="0061663C">
              <w:rPr>
                <w:rFonts w:ascii="Aptos Narrow" w:eastAsia="Times New Roman" w:hAnsi="Aptos Narrow" w:cs="Times New Roman"/>
                <w:b/>
                <w:bCs/>
              </w:rPr>
              <w:t>Part Number</w:t>
            </w:r>
          </w:p>
        </w:tc>
        <w:tc>
          <w:tcPr>
            <w:tcW w:w="4770" w:type="dxa"/>
            <w:tcBorders>
              <w:top w:val="single" w:sz="8" w:space="0" w:color="auto"/>
              <w:left w:val="nil"/>
              <w:bottom w:val="single" w:sz="8" w:space="0" w:color="auto"/>
              <w:right w:val="single" w:sz="8" w:space="0" w:color="auto"/>
            </w:tcBorders>
            <w:noWrap/>
            <w:vAlign w:val="center"/>
            <w:hideMark/>
          </w:tcPr>
          <w:p w14:paraId="46F3862C" w14:textId="77777777" w:rsidR="00A06A99" w:rsidRPr="0061663C" w:rsidRDefault="00A06A99" w:rsidP="00A06A99">
            <w:pPr>
              <w:spacing w:after="0" w:line="240" w:lineRule="auto"/>
              <w:jc w:val="center"/>
              <w:rPr>
                <w:rFonts w:ascii="Aptos Narrow" w:eastAsia="Times New Roman" w:hAnsi="Aptos Narrow" w:cs="Times New Roman"/>
                <w:b/>
                <w:bCs/>
              </w:rPr>
            </w:pPr>
            <w:r w:rsidRPr="0061663C">
              <w:rPr>
                <w:rFonts w:ascii="Aptos Narrow" w:eastAsia="Times New Roman" w:hAnsi="Aptos Narrow" w:cs="Times New Roman"/>
                <w:b/>
                <w:bCs/>
              </w:rPr>
              <w:t>Specifications</w:t>
            </w:r>
          </w:p>
        </w:tc>
        <w:tc>
          <w:tcPr>
            <w:tcW w:w="1890" w:type="dxa"/>
            <w:tcBorders>
              <w:top w:val="single" w:sz="8" w:space="0" w:color="auto"/>
              <w:left w:val="nil"/>
              <w:bottom w:val="single" w:sz="8" w:space="0" w:color="auto"/>
              <w:right w:val="single" w:sz="8" w:space="0" w:color="auto"/>
            </w:tcBorders>
            <w:noWrap/>
            <w:vAlign w:val="center"/>
            <w:hideMark/>
          </w:tcPr>
          <w:p w14:paraId="076F21B3" w14:textId="77777777" w:rsidR="00A06A99" w:rsidRPr="0061663C" w:rsidRDefault="00A06A99" w:rsidP="00A06A99">
            <w:pPr>
              <w:spacing w:after="0" w:line="240" w:lineRule="auto"/>
              <w:jc w:val="center"/>
              <w:rPr>
                <w:rFonts w:ascii="Aptos Narrow" w:eastAsia="Times New Roman" w:hAnsi="Aptos Narrow" w:cs="Times New Roman"/>
                <w:b/>
                <w:bCs/>
              </w:rPr>
            </w:pPr>
            <w:r w:rsidRPr="0061663C">
              <w:rPr>
                <w:rFonts w:ascii="Aptos Narrow" w:eastAsia="Times New Roman" w:hAnsi="Aptos Narrow" w:cs="Times New Roman"/>
                <w:b/>
                <w:bCs/>
              </w:rPr>
              <w:t>Required Quantity</w:t>
            </w:r>
          </w:p>
        </w:tc>
      </w:tr>
      <w:tr w:rsidR="00A06A99" w:rsidRPr="0061663C" w14:paraId="49E7C9CB" w14:textId="77777777" w:rsidTr="00637158">
        <w:trPr>
          <w:trHeight w:val="3900"/>
        </w:trPr>
        <w:tc>
          <w:tcPr>
            <w:tcW w:w="270" w:type="dxa"/>
            <w:tcBorders>
              <w:top w:val="nil"/>
              <w:left w:val="single" w:sz="8" w:space="0" w:color="auto"/>
              <w:bottom w:val="single" w:sz="4" w:space="0" w:color="auto"/>
              <w:right w:val="single" w:sz="4" w:space="0" w:color="auto"/>
            </w:tcBorders>
            <w:noWrap/>
            <w:vAlign w:val="center"/>
            <w:hideMark/>
          </w:tcPr>
          <w:p w14:paraId="58E0A7CF" w14:textId="77777777" w:rsidR="00A06A99" w:rsidRPr="0061663C" w:rsidRDefault="00A06A99" w:rsidP="00A06A99">
            <w:pPr>
              <w:spacing w:after="0" w:line="240" w:lineRule="auto"/>
              <w:jc w:val="center"/>
              <w:rPr>
                <w:rFonts w:ascii="Aptos Narrow" w:eastAsia="Times New Roman" w:hAnsi="Aptos Narrow" w:cs="Times New Roman"/>
              </w:rPr>
            </w:pPr>
            <w:r w:rsidRPr="0061663C">
              <w:rPr>
                <w:rFonts w:ascii="Aptos Narrow" w:eastAsia="Times New Roman" w:hAnsi="Aptos Narrow" w:cs="Times New Roman"/>
              </w:rPr>
              <w:t>1</w:t>
            </w:r>
          </w:p>
        </w:tc>
        <w:tc>
          <w:tcPr>
            <w:tcW w:w="2700" w:type="dxa"/>
            <w:tcBorders>
              <w:top w:val="nil"/>
              <w:left w:val="nil"/>
              <w:bottom w:val="single" w:sz="4" w:space="0" w:color="auto"/>
              <w:right w:val="single" w:sz="4" w:space="0" w:color="auto"/>
            </w:tcBorders>
            <w:vAlign w:val="center"/>
            <w:hideMark/>
          </w:tcPr>
          <w:p w14:paraId="3D9287CA" w14:textId="77777777" w:rsidR="00A06A99" w:rsidRPr="0061663C" w:rsidRDefault="00A06A99"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u w:val="single"/>
              </w:rPr>
              <w:t>NVIDIA DGX Spark Bundle:</w:t>
            </w:r>
            <w:r w:rsidRPr="0061663C">
              <w:rPr>
                <w:rFonts w:ascii="Aptos Narrow" w:eastAsia="Times New Roman" w:hAnsi="Aptos Narrow" w:cs="Times New Roman"/>
              </w:rPr>
              <w:br/>
              <w:t>- Two (2) DGX Spark units (part number: 940-54242-0006-000).</w:t>
            </w:r>
            <w:r w:rsidRPr="0061663C">
              <w:rPr>
                <w:rFonts w:ascii="Aptos Narrow" w:eastAsia="Times New Roman" w:hAnsi="Aptos Narrow" w:cs="Times New Roman"/>
              </w:rPr>
              <w:br/>
              <w:t>- Connecting cable.</w:t>
            </w:r>
            <w:r w:rsidRPr="0061663C">
              <w:rPr>
                <w:rFonts w:ascii="Aptos Narrow" w:eastAsia="Times New Roman" w:hAnsi="Aptos Narrow" w:cs="Times New Roman"/>
              </w:rPr>
              <w:br/>
            </w:r>
            <w:r w:rsidRPr="0061663C">
              <w:rPr>
                <w:rFonts w:ascii="Aptos Narrow" w:eastAsia="Times New Roman" w:hAnsi="Aptos Narrow" w:cs="Times New Roman"/>
              </w:rPr>
              <w:br/>
              <w:t>Bundle Reference Page: https://marketplace.nvidia.com/en-us/enterprise/personal-ai-supercomputers/dgx-spark-bundle/</w:t>
            </w:r>
          </w:p>
        </w:tc>
        <w:tc>
          <w:tcPr>
            <w:tcW w:w="1620" w:type="dxa"/>
            <w:tcBorders>
              <w:top w:val="nil"/>
              <w:left w:val="nil"/>
              <w:bottom w:val="single" w:sz="4" w:space="0" w:color="auto"/>
              <w:right w:val="single" w:sz="4" w:space="0" w:color="auto"/>
            </w:tcBorders>
            <w:vAlign w:val="center"/>
            <w:hideMark/>
          </w:tcPr>
          <w:p w14:paraId="3970372F" w14:textId="77777777" w:rsidR="00A06A99" w:rsidRPr="0061663C" w:rsidRDefault="00A06A99"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u w:val="single"/>
              </w:rPr>
              <w:t>DGX Spark unit Part Number:</w:t>
            </w:r>
            <w:r w:rsidRPr="0061663C">
              <w:rPr>
                <w:rFonts w:ascii="Aptos Narrow" w:eastAsia="Times New Roman" w:hAnsi="Aptos Narrow" w:cs="Times New Roman"/>
              </w:rPr>
              <w:br/>
              <w:t>940-54242-0000</w:t>
            </w:r>
          </w:p>
        </w:tc>
        <w:tc>
          <w:tcPr>
            <w:tcW w:w="4770" w:type="dxa"/>
            <w:tcBorders>
              <w:top w:val="nil"/>
              <w:left w:val="nil"/>
              <w:bottom w:val="single" w:sz="4" w:space="0" w:color="auto"/>
              <w:right w:val="single" w:sz="4" w:space="0" w:color="auto"/>
            </w:tcBorders>
            <w:vAlign w:val="center"/>
            <w:hideMark/>
          </w:tcPr>
          <w:p w14:paraId="7602DA78" w14:textId="77777777" w:rsidR="00A06A99" w:rsidRPr="0061663C" w:rsidRDefault="00A06A99"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u w:val="single"/>
              </w:rPr>
              <w:t>DGX Spark unit Specifications:</w:t>
            </w:r>
            <w:r w:rsidRPr="0061663C">
              <w:rPr>
                <w:rFonts w:ascii="Aptos Narrow" w:eastAsia="Times New Roman" w:hAnsi="Aptos Narrow" w:cs="Times New Roman"/>
              </w:rPr>
              <w:br/>
              <w:t>- NVIDIA GB10 Grace Blackwell superchip.</w:t>
            </w:r>
            <w:r w:rsidRPr="0061663C">
              <w:rPr>
                <w:rFonts w:ascii="Aptos Narrow" w:eastAsia="Times New Roman" w:hAnsi="Aptos Narrow" w:cs="Times New Roman"/>
              </w:rPr>
              <w:br/>
              <w:t>- GPU: NVIDIA Blackwell Architecture with 5th Generation Tensor Cores, 4th Generation RT Cores.</w:t>
            </w:r>
            <w:r w:rsidRPr="0061663C">
              <w:rPr>
                <w:rFonts w:ascii="Aptos Narrow" w:eastAsia="Times New Roman" w:hAnsi="Aptos Narrow" w:cs="Times New Roman"/>
              </w:rPr>
              <w:br/>
              <w:t>- CPU: 20-core Arm processor (10 Cortex-X925 + 10 Cortex-A725).</w:t>
            </w:r>
            <w:r w:rsidRPr="0061663C">
              <w:rPr>
                <w:rFonts w:ascii="Aptos Narrow" w:eastAsia="Times New Roman" w:hAnsi="Aptos Narrow" w:cs="Times New Roman"/>
              </w:rPr>
              <w:br/>
              <w:t>- 1 PFLOPS of FP4 AI performance.</w:t>
            </w:r>
            <w:r w:rsidRPr="0061663C">
              <w:rPr>
                <w:rFonts w:ascii="Aptos Narrow" w:eastAsia="Times New Roman" w:hAnsi="Aptos Narrow" w:cs="Times New Roman"/>
              </w:rPr>
              <w:br/>
              <w:t>- 128 GB LPDDR5x, coherent unified system memory.</w:t>
            </w:r>
            <w:r w:rsidRPr="0061663C">
              <w:rPr>
                <w:rFonts w:ascii="Aptos Narrow" w:eastAsia="Times New Roman" w:hAnsi="Aptos Narrow" w:cs="Times New Roman"/>
              </w:rPr>
              <w:br/>
              <w:t>- 2x 200Gbps ConnectX-7 QSFP56 NIC.</w:t>
            </w:r>
            <w:r w:rsidRPr="0061663C">
              <w:rPr>
                <w:rFonts w:ascii="Aptos Narrow" w:eastAsia="Times New Roman" w:hAnsi="Aptos Narrow" w:cs="Times New Roman"/>
              </w:rPr>
              <w:br/>
              <w:t>- 1x RJ-45 connector 10 GbE.</w:t>
            </w:r>
            <w:r w:rsidRPr="0061663C">
              <w:rPr>
                <w:rFonts w:ascii="Aptos Narrow" w:eastAsia="Times New Roman" w:hAnsi="Aptos Narrow" w:cs="Times New Roman"/>
              </w:rPr>
              <w:br/>
              <w:t xml:space="preserve">- 4x USB </w:t>
            </w:r>
            <w:proofErr w:type="spellStart"/>
            <w:r w:rsidRPr="0061663C">
              <w:rPr>
                <w:rFonts w:ascii="Aptos Narrow" w:eastAsia="Times New Roman" w:hAnsi="Aptos Narrow" w:cs="Times New Roman"/>
              </w:rPr>
              <w:t>TypeC</w:t>
            </w:r>
            <w:proofErr w:type="spellEnd"/>
            <w:r w:rsidRPr="0061663C">
              <w:rPr>
                <w:rFonts w:ascii="Aptos Narrow" w:eastAsia="Times New Roman" w:hAnsi="Aptos Narrow" w:cs="Times New Roman"/>
              </w:rPr>
              <w:t>.</w:t>
            </w:r>
            <w:r w:rsidRPr="0061663C">
              <w:rPr>
                <w:rFonts w:ascii="Aptos Narrow" w:eastAsia="Times New Roman" w:hAnsi="Aptos Narrow" w:cs="Times New Roman"/>
              </w:rPr>
              <w:br/>
              <w:t>- 1x HDMI 2.1a, Up to 3x DisplayPort over USB-C (DP Alt Mode).</w:t>
            </w:r>
            <w:r w:rsidRPr="0061663C">
              <w:rPr>
                <w:rFonts w:ascii="Aptos Narrow" w:eastAsia="Times New Roman" w:hAnsi="Aptos Narrow" w:cs="Times New Roman"/>
              </w:rPr>
              <w:br/>
              <w:t>- 4TB NVME.M2 with self-encryption.</w:t>
            </w:r>
            <w:r w:rsidRPr="0061663C">
              <w:rPr>
                <w:rFonts w:ascii="Aptos Narrow" w:eastAsia="Times New Roman" w:hAnsi="Aptos Narrow" w:cs="Times New Roman"/>
              </w:rPr>
              <w:br/>
              <w:t>- 150mm L x 150mm W x 50.5mm H.</w:t>
            </w:r>
          </w:p>
          <w:p w14:paraId="1326E094" w14:textId="77777777" w:rsidR="005A58BA" w:rsidRPr="0061663C" w:rsidRDefault="005A58BA" w:rsidP="00A06A99">
            <w:pPr>
              <w:spacing w:after="0" w:line="240" w:lineRule="auto"/>
              <w:rPr>
                <w:rFonts w:ascii="Aptos Narrow" w:eastAsia="Times New Roman" w:hAnsi="Aptos Narrow" w:cs="Times New Roman"/>
              </w:rPr>
            </w:pPr>
          </w:p>
          <w:p w14:paraId="2101E802" w14:textId="7F5E18AA" w:rsidR="00881684" w:rsidRPr="0061663C" w:rsidRDefault="00881684"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rPr>
              <w:t>- Warranty: 12 Months.</w:t>
            </w:r>
          </w:p>
        </w:tc>
        <w:tc>
          <w:tcPr>
            <w:tcW w:w="1890" w:type="dxa"/>
            <w:tcBorders>
              <w:top w:val="nil"/>
              <w:left w:val="nil"/>
              <w:bottom w:val="single" w:sz="4" w:space="0" w:color="auto"/>
              <w:right w:val="single" w:sz="8" w:space="0" w:color="auto"/>
            </w:tcBorders>
            <w:vAlign w:val="center"/>
            <w:hideMark/>
          </w:tcPr>
          <w:p w14:paraId="612E57B6" w14:textId="77777777" w:rsidR="00A06A99" w:rsidRPr="0061663C" w:rsidRDefault="00A06A99" w:rsidP="00A06A99">
            <w:pPr>
              <w:spacing w:after="0" w:line="240" w:lineRule="auto"/>
              <w:jc w:val="center"/>
              <w:rPr>
                <w:rFonts w:ascii="Aptos Narrow" w:eastAsia="Times New Roman" w:hAnsi="Aptos Narrow" w:cs="Times New Roman"/>
              </w:rPr>
            </w:pPr>
            <w:r w:rsidRPr="0061663C">
              <w:rPr>
                <w:rFonts w:ascii="Aptos Narrow" w:eastAsia="Times New Roman" w:hAnsi="Aptos Narrow" w:cs="Times New Roman"/>
              </w:rPr>
              <w:t>Minimum: 3</w:t>
            </w:r>
            <w:r w:rsidRPr="0061663C">
              <w:rPr>
                <w:rFonts w:ascii="Aptos Narrow" w:eastAsia="Times New Roman" w:hAnsi="Aptos Narrow" w:cs="Times New Roman"/>
              </w:rPr>
              <w:br/>
            </w:r>
            <w:r w:rsidRPr="0061663C">
              <w:rPr>
                <w:rFonts w:ascii="Aptos Narrow" w:eastAsia="Times New Roman" w:hAnsi="Aptos Narrow" w:cs="Times New Roman"/>
                <w:i/>
                <w:iCs/>
              </w:rPr>
              <w:t>*3x Bundles (total of 6 NVIDIA DGX Spark units, and 3 connecting cables).</w:t>
            </w:r>
          </w:p>
        </w:tc>
      </w:tr>
      <w:tr w:rsidR="00A06A99" w:rsidRPr="0061663C" w14:paraId="3E23710D" w14:textId="77777777" w:rsidTr="003B4518">
        <w:trPr>
          <w:trHeight w:val="3900"/>
        </w:trPr>
        <w:tc>
          <w:tcPr>
            <w:tcW w:w="270" w:type="dxa"/>
            <w:tcBorders>
              <w:top w:val="nil"/>
              <w:left w:val="single" w:sz="8" w:space="0" w:color="auto"/>
              <w:bottom w:val="single" w:sz="4" w:space="0" w:color="auto"/>
              <w:right w:val="single" w:sz="4" w:space="0" w:color="auto"/>
            </w:tcBorders>
            <w:noWrap/>
            <w:vAlign w:val="center"/>
            <w:hideMark/>
          </w:tcPr>
          <w:p w14:paraId="5C354111" w14:textId="77777777" w:rsidR="00A06A99" w:rsidRPr="0061663C" w:rsidRDefault="00A06A99" w:rsidP="00A06A99">
            <w:pPr>
              <w:spacing w:after="0" w:line="240" w:lineRule="auto"/>
              <w:jc w:val="center"/>
              <w:rPr>
                <w:rFonts w:ascii="Aptos Narrow" w:eastAsia="Times New Roman" w:hAnsi="Aptos Narrow" w:cs="Times New Roman"/>
              </w:rPr>
            </w:pPr>
            <w:r w:rsidRPr="0061663C">
              <w:rPr>
                <w:rFonts w:ascii="Aptos Narrow" w:eastAsia="Times New Roman" w:hAnsi="Aptos Narrow" w:cs="Times New Roman"/>
              </w:rPr>
              <w:t>2</w:t>
            </w:r>
          </w:p>
        </w:tc>
        <w:tc>
          <w:tcPr>
            <w:tcW w:w="2700" w:type="dxa"/>
            <w:tcBorders>
              <w:top w:val="nil"/>
              <w:left w:val="nil"/>
              <w:bottom w:val="single" w:sz="4" w:space="0" w:color="auto"/>
              <w:right w:val="single" w:sz="4" w:space="0" w:color="auto"/>
            </w:tcBorders>
            <w:vAlign w:val="center"/>
            <w:hideMark/>
          </w:tcPr>
          <w:p w14:paraId="020E1E98" w14:textId="77777777" w:rsidR="00A06A99" w:rsidRPr="0061663C" w:rsidRDefault="00A06A99"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u w:val="single"/>
              </w:rPr>
              <w:t>NVIDIA DGX Spark Unit:</w:t>
            </w:r>
            <w:r w:rsidRPr="0061663C">
              <w:rPr>
                <w:rFonts w:ascii="Aptos Narrow" w:eastAsia="Times New Roman" w:hAnsi="Aptos Narrow" w:cs="Times New Roman"/>
              </w:rPr>
              <w:br/>
              <w:t>- DGX Spark units (part number: 940-54242-0006-000).</w:t>
            </w:r>
          </w:p>
        </w:tc>
        <w:tc>
          <w:tcPr>
            <w:tcW w:w="1620" w:type="dxa"/>
            <w:tcBorders>
              <w:top w:val="nil"/>
              <w:left w:val="nil"/>
              <w:bottom w:val="single" w:sz="4" w:space="0" w:color="auto"/>
              <w:right w:val="single" w:sz="4" w:space="0" w:color="auto"/>
            </w:tcBorders>
            <w:vAlign w:val="center"/>
            <w:hideMark/>
          </w:tcPr>
          <w:p w14:paraId="72B85288" w14:textId="77777777" w:rsidR="00A06A99" w:rsidRPr="0061663C" w:rsidRDefault="00A06A99"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u w:val="single"/>
              </w:rPr>
              <w:t>DGX Spark unit Part Number:</w:t>
            </w:r>
            <w:r w:rsidRPr="0061663C">
              <w:rPr>
                <w:rFonts w:ascii="Aptos Narrow" w:eastAsia="Times New Roman" w:hAnsi="Aptos Narrow" w:cs="Times New Roman"/>
              </w:rPr>
              <w:br/>
              <w:t>940-54242-0000</w:t>
            </w:r>
          </w:p>
        </w:tc>
        <w:tc>
          <w:tcPr>
            <w:tcW w:w="4770" w:type="dxa"/>
            <w:tcBorders>
              <w:top w:val="nil"/>
              <w:left w:val="nil"/>
              <w:bottom w:val="single" w:sz="4" w:space="0" w:color="auto"/>
              <w:right w:val="single" w:sz="4" w:space="0" w:color="auto"/>
            </w:tcBorders>
            <w:vAlign w:val="center"/>
            <w:hideMark/>
          </w:tcPr>
          <w:p w14:paraId="3FA29825" w14:textId="77777777" w:rsidR="00A06A99" w:rsidRPr="0061663C" w:rsidRDefault="00A06A99"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u w:val="single"/>
              </w:rPr>
              <w:t>DGX Spark unit Specifications:</w:t>
            </w:r>
            <w:r w:rsidRPr="0061663C">
              <w:rPr>
                <w:rFonts w:ascii="Aptos Narrow" w:eastAsia="Times New Roman" w:hAnsi="Aptos Narrow" w:cs="Times New Roman"/>
              </w:rPr>
              <w:br/>
              <w:t>- NVIDIA GB10 Grace Blackwell superchip.</w:t>
            </w:r>
            <w:r w:rsidRPr="0061663C">
              <w:rPr>
                <w:rFonts w:ascii="Aptos Narrow" w:eastAsia="Times New Roman" w:hAnsi="Aptos Narrow" w:cs="Times New Roman"/>
              </w:rPr>
              <w:br/>
              <w:t>- GPU: NVIDIA Blackwell Architecture with 5th Generation Tensor Cores, 4th Generation RT Cores.</w:t>
            </w:r>
            <w:r w:rsidRPr="0061663C">
              <w:rPr>
                <w:rFonts w:ascii="Aptos Narrow" w:eastAsia="Times New Roman" w:hAnsi="Aptos Narrow" w:cs="Times New Roman"/>
              </w:rPr>
              <w:br/>
              <w:t>- CPU: 20-core Arm processor (10 Cortex-X925 + 10 Cortex-A725).</w:t>
            </w:r>
            <w:r w:rsidRPr="0061663C">
              <w:rPr>
                <w:rFonts w:ascii="Aptos Narrow" w:eastAsia="Times New Roman" w:hAnsi="Aptos Narrow" w:cs="Times New Roman"/>
              </w:rPr>
              <w:br/>
              <w:t>- 1 PFLOPS of FP4 AI performance.</w:t>
            </w:r>
            <w:r w:rsidRPr="0061663C">
              <w:rPr>
                <w:rFonts w:ascii="Aptos Narrow" w:eastAsia="Times New Roman" w:hAnsi="Aptos Narrow" w:cs="Times New Roman"/>
              </w:rPr>
              <w:br/>
              <w:t>- 128 GB LPDDR5x, coherent unified system memory.</w:t>
            </w:r>
            <w:r w:rsidRPr="0061663C">
              <w:rPr>
                <w:rFonts w:ascii="Aptos Narrow" w:eastAsia="Times New Roman" w:hAnsi="Aptos Narrow" w:cs="Times New Roman"/>
              </w:rPr>
              <w:br/>
              <w:t>- 2x 200Gbps ConnectX-7 QSFP56 NIC.</w:t>
            </w:r>
            <w:r w:rsidRPr="0061663C">
              <w:rPr>
                <w:rFonts w:ascii="Aptos Narrow" w:eastAsia="Times New Roman" w:hAnsi="Aptos Narrow" w:cs="Times New Roman"/>
              </w:rPr>
              <w:br/>
              <w:t>- 1x RJ-45 connector 10 GbE.</w:t>
            </w:r>
            <w:r w:rsidRPr="0061663C">
              <w:rPr>
                <w:rFonts w:ascii="Aptos Narrow" w:eastAsia="Times New Roman" w:hAnsi="Aptos Narrow" w:cs="Times New Roman"/>
              </w:rPr>
              <w:br/>
              <w:t xml:space="preserve">- 4x USB </w:t>
            </w:r>
            <w:proofErr w:type="spellStart"/>
            <w:r w:rsidRPr="0061663C">
              <w:rPr>
                <w:rFonts w:ascii="Aptos Narrow" w:eastAsia="Times New Roman" w:hAnsi="Aptos Narrow" w:cs="Times New Roman"/>
              </w:rPr>
              <w:t>TypeC</w:t>
            </w:r>
            <w:proofErr w:type="spellEnd"/>
            <w:r w:rsidRPr="0061663C">
              <w:rPr>
                <w:rFonts w:ascii="Aptos Narrow" w:eastAsia="Times New Roman" w:hAnsi="Aptos Narrow" w:cs="Times New Roman"/>
              </w:rPr>
              <w:t>.</w:t>
            </w:r>
            <w:r w:rsidRPr="0061663C">
              <w:rPr>
                <w:rFonts w:ascii="Aptos Narrow" w:eastAsia="Times New Roman" w:hAnsi="Aptos Narrow" w:cs="Times New Roman"/>
              </w:rPr>
              <w:br/>
              <w:t>- 1x HDMI 2.1a, Up to 3x DisplayPort over USB-C (DP Alt Mode).</w:t>
            </w:r>
            <w:r w:rsidRPr="0061663C">
              <w:rPr>
                <w:rFonts w:ascii="Aptos Narrow" w:eastAsia="Times New Roman" w:hAnsi="Aptos Narrow" w:cs="Times New Roman"/>
              </w:rPr>
              <w:br/>
              <w:t>- 4TB NVME.M2 with self-encryption.</w:t>
            </w:r>
            <w:r w:rsidRPr="0061663C">
              <w:rPr>
                <w:rFonts w:ascii="Aptos Narrow" w:eastAsia="Times New Roman" w:hAnsi="Aptos Narrow" w:cs="Times New Roman"/>
              </w:rPr>
              <w:br/>
              <w:t>- 150mm L x 150mm W x 50.5mm H.</w:t>
            </w:r>
          </w:p>
          <w:p w14:paraId="35EAE127" w14:textId="77777777" w:rsidR="00684D10" w:rsidRPr="0061663C" w:rsidRDefault="00684D10" w:rsidP="00A06A99">
            <w:pPr>
              <w:spacing w:after="0" w:line="240" w:lineRule="auto"/>
              <w:rPr>
                <w:rFonts w:ascii="Aptos Narrow" w:eastAsia="Times New Roman" w:hAnsi="Aptos Narrow" w:cs="Times New Roman"/>
              </w:rPr>
            </w:pPr>
          </w:p>
          <w:p w14:paraId="244316C8" w14:textId="5BB38E71" w:rsidR="00881684" w:rsidRPr="0061663C" w:rsidRDefault="00881684"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rPr>
              <w:t>- Warranty: 12 Months.</w:t>
            </w:r>
          </w:p>
        </w:tc>
        <w:tc>
          <w:tcPr>
            <w:tcW w:w="1890" w:type="dxa"/>
            <w:tcBorders>
              <w:top w:val="nil"/>
              <w:left w:val="nil"/>
              <w:bottom w:val="single" w:sz="4" w:space="0" w:color="auto"/>
              <w:right w:val="single" w:sz="8" w:space="0" w:color="auto"/>
            </w:tcBorders>
            <w:vAlign w:val="center"/>
            <w:hideMark/>
          </w:tcPr>
          <w:p w14:paraId="3CCDCC4D" w14:textId="77777777" w:rsidR="00A06A99" w:rsidRPr="0061663C" w:rsidRDefault="00A06A99" w:rsidP="00A06A99">
            <w:pPr>
              <w:spacing w:after="0" w:line="240" w:lineRule="auto"/>
              <w:jc w:val="center"/>
              <w:rPr>
                <w:rFonts w:ascii="Aptos Narrow" w:eastAsia="Times New Roman" w:hAnsi="Aptos Narrow" w:cs="Times New Roman"/>
              </w:rPr>
            </w:pPr>
            <w:r w:rsidRPr="0061663C">
              <w:rPr>
                <w:rFonts w:ascii="Aptos Narrow" w:eastAsia="Times New Roman" w:hAnsi="Aptos Narrow" w:cs="Times New Roman"/>
              </w:rPr>
              <w:t>Minimum: 0</w:t>
            </w:r>
            <w:r w:rsidRPr="0061663C">
              <w:rPr>
                <w:rFonts w:ascii="Aptos Narrow" w:eastAsia="Times New Roman" w:hAnsi="Aptos Narrow" w:cs="Times New Roman"/>
              </w:rPr>
              <w:br/>
              <w:t>Optionally: 0+1</w:t>
            </w:r>
          </w:p>
        </w:tc>
      </w:tr>
      <w:tr w:rsidR="00A06A99" w:rsidRPr="0061663C" w14:paraId="053BA535" w14:textId="77777777" w:rsidTr="003B4518">
        <w:trPr>
          <w:trHeight w:val="3600"/>
        </w:trPr>
        <w:tc>
          <w:tcPr>
            <w:tcW w:w="270" w:type="dxa"/>
            <w:tcBorders>
              <w:top w:val="single" w:sz="4" w:space="0" w:color="auto"/>
              <w:left w:val="single" w:sz="4" w:space="0" w:color="auto"/>
              <w:bottom w:val="single" w:sz="4" w:space="0" w:color="auto"/>
              <w:right w:val="single" w:sz="4" w:space="0" w:color="auto"/>
            </w:tcBorders>
            <w:noWrap/>
            <w:vAlign w:val="center"/>
            <w:hideMark/>
          </w:tcPr>
          <w:p w14:paraId="70B4D9B5" w14:textId="56EB9F45" w:rsidR="00A06A99" w:rsidRPr="0061663C" w:rsidRDefault="00B40E18" w:rsidP="00A06A99">
            <w:pPr>
              <w:spacing w:after="0" w:line="240" w:lineRule="auto"/>
              <w:jc w:val="center"/>
              <w:rPr>
                <w:rFonts w:ascii="Aptos Narrow" w:eastAsia="Times New Roman" w:hAnsi="Aptos Narrow" w:cs="Times New Roman"/>
              </w:rPr>
            </w:pPr>
            <w:r w:rsidRPr="0061663C">
              <w:rPr>
                <w:rFonts w:ascii="Aptos Narrow" w:eastAsia="Times New Roman" w:hAnsi="Aptos Narrow" w:cs="Times New Roman"/>
              </w:rPr>
              <w:lastRenderedPageBreak/>
              <w:t>3</w:t>
            </w:r>
          </w:p>
        </w:tc>
        <w:tc>
          <w:tcPr>
            <w:tcW w:w="2700" w:type="dxa"/>
            <w:tcBorders>
              <w:top w:val="single" w:sz="4" w:space="0" w:color="auto"/>
              <w:left w:val="nil"/>
              <w:bottom w:val="single" w:sz="4" w:space="0" w:color="auto"/>
              <w:right w:val="single" w:sz="4" w:space="0" w:color="auto"/>
            </w:tcBorders>
            <w:noWrap/>
            <w:vAlign w:val="center"/>
            <w:hideMark/>
          </w:tcPr>
          <w:p w14:paraId="6510FAB9" w14:textId="77777777" w:rsidR="00A06A99" w:rsidRPr="0061663C" w:rsidRDefault="00A06A99" w:rsidP="00A06A99">
            <w:pPr>
              <w:spacing w:after="0" w:line="240" w:lineRule="auto"/>
              <w:rPr>
                <w:rFonts w:ascii="Aptos Narrow" w:eastAsia="Times New Roman" w:hAnsi="Aptos Narrow" w:cs="Times New Roman"/>
                <w:u w:val="single"/>
              </w:rPr>
            </w:pPr>
            <w:r w:rsidRPr="0061663C">
              <w:rPr>
                <w:rFonts w:ascii="Aptos Narrow" w:eastAsia="Times New Roman" w:hAnsi="Aptos Narrow" w:cs="Times New Roman"/>
                <w:u w:val="single"/>
              </w:rPr>
              <w:t>Dell Pro Max with GB10</w:t>
            </w:r>
          </w:p>
        </w:tc>
        <w:tc>
          <w:tcPr>
            <w:tcW w:w="1620" w:type="dxa"/>
            <w:tcBorders>
              <w:top w:val="single" w:sz="4" w:space="0" w:color="auto"/>
              <w:left w:val="nil"/>
              <w:bottom w:val="single" w:sz="4" w:space="0" w:color="auto"/>
              <w:right w:val="single" w:sz="4" w:space="0" w:color="auto"/>
            </w:tcBorders>
            <w:vAlign w:val="center"/>
            <w:hideMark/>
          </w:tcPr>
          <w:p w14:paraId="576F82B7" w14:textId="77777777" w:rsidR="00A06A99" w:rsidRPr="0061663C" w:rsidRDefault="00A06A99"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rPr>
              <w:t xml:space="preserve">FCM1253 </w:t>
            </w:r>
          </w:p>
        </w:tc>
        <w:tc>
          <w:tcPr>
            <w:tcW w:w="4770" w:type="dxa"/>
            <w:tcBorders>
              <w:top w:val="single" w:sz="4" w:space="0" w:color="auto"/>
              <w:left w:val="nil"/>
              <w:bottom w:val="single" w:sz="4" w:space="0" w:color="auto"/>
              <w:right w:val="single" w:sz="4" w:space="0" w:color="auto"/>
            </w:tcBorders>
            <w:vAlign w:val="center"/>
            <w:hideMark/>
          </w:tcPr>
          <w:p w14:paraId="673B4C0D" w14:textId="77777777" w:rsidR="00A06A99" w:rsidRPr="0061663C" w:rsidRDefault="00A06A99"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rPr>
              <w:t>- Processor: NVIDIA GB10 Grace CPU (10 Cortex-X925 + 10 Cortex-A725 cores).</w:t>
            </w:r>
            <w:r w:rsidRPr="0061663C">
              <w:rPr>
                <w:rFonts w:ascii="Aptos Narrow" w:eastAsia="Times New Roman" w:hAnsi="Aptos Narrow" w:cs="Times New Roman"/>
              </w:rPr>
              <w:br/>
              <w:t>- Graphics Card: NVIDIA GB10 Blackwell GPU.</w:t>
            </w:r>
            <w:r w:rsidRPr="0061663C">
              <w:rPr>
                <w:rFonts w:ascii="Aptos Narrow" w:eastAsia="Times New Roman" w:hAnsi="Aptos Narrow" w:cs="Times New Roman"/>
              </w:rPr>
              <w:br/>
              <w:t>- Memory: 128GB LPDDR5X unified memory.</w:t>
            </w:r>
            <w:r w:rsidRPr="0061663C">
              <w:rPr>
                <w:rFonts w:ascii="Aptos Narrow" w:eastAsia="Times New Roman" w:hAnsi="Aptos Narrow" w:cs="Times New Roman"/>
              </w:rPr>
              <w:br/>
              <w:t>- Storage: 4TB M.2 2242, TLC PCIe Gen4, SED Ready.</w:t>
            </w:r>
            <w:r w:rsidRPr="0061663C">
              <w:rPr>
                <w:rFonts w:ascii="Aptos Narrow" w:eastAsia="Times New Roman" w:hAnsi="Aptos Narrow" w:cs="Times New Roman"/>
              </w:rPr>
              <w:br/>
              <w:t>- Chassis: Dell Pro Max with GB10 L6.</w:t>
            </w:r>
            <w:r w:rsidRPr="0061663C">
              <w:rPr>
                <w:rFonts w:ascii="Aptos Narrow" w:eastAsia="Times New Roman" w:hAnsi="Aptos Narrow" w:cs="Times New Roman"/>
              </w:rPr>
              <w:br/>
              <w:t>- Network (RJ-45, 10GbE) Port.</w:t>
            </w:r>
            <w:r w:rsidRPr="0061663C">
              <w:rPr>
                <w:rFonts w:ascii="Aptos Narrow" w:eastAsia="Times New Roman" w:hAnsi="Aptos Narrow" w:cs="Times New Roman"/>
              </w:rPr>
              <w:br/>
              <w:t>- ConnectX-7 Smart NIC (2x 200G QSFP Ports).</w:t>
            </w:r>
            <w:r w:rsidRPr="0061663C">
              <w:rPr>
                <w:rFonts w:ascii="Aptos Narrow" w:eastAsia="Times New Roman" w:hAnsi="Aptos Narrow" w:cs="Times New Roman"/>
              </w:rPr>
              <w:br/>
              <w:t>- HDMI 2.1b Port.</w:t>
            </w:r>
            <w:r w:rsidRPr="0061663C">
              <w:rPr>
                <w:rFonts w:ascii="Aptos Narrow" w:eastAsia="Times New Roman" w:hAnsi="Aptos Narrow" w:cs="Times New Roman"/>
              </w:rPr>
              <w:br/>
              <w:t>- 3x USB-C Gen 2x2 w/ DP Alt mode ports.</w:t>
            </w:r>
            <w:r w:rsidRPr="0061663C">
              <w:rPr>
                <w:rFonts w:ascii="Aptos Narrow" w:eastAsia="Times New Roman" w:hAnsi="Aptos Narrow" w:cs="Times New Roman"/>
              </w:rPr>
              <w:br/>
              <w:t>- WIFI 7 &amp; Bluetooth 5 Wireless Module.</w:t>
            </w:r>
            <w:r w:rsidRPr="0061663C">
              <w:rPr>
                <w:rFonts w:ascii="Aptos Narrow" w:eastAsia="Times New Roman" w:hAnsi="Aptos Narrow" w:cs="Times New Roman"/>
              </w:rPr>
              <w:br/>
              <w:t>- Power Supply: 280W Type-C Power Adapter.</w:t>
            </w:r>
          </w:p>
          <w:p w14:paraId="52A63E97" w14:textId="77777777" w:rsidR="00684D10" w:rsidRPr="0061663C" w:rsidRDefault="00684D10" w:rsidP="00A06A99">
            <w:pPr>
              <w:spacing w:after="0" w:line="240" w:lineRule="auto"/>
              <w:rPr>
                <w:rFonts w:ascii="Aptos Narrow" w:eastAsia="Times New Roman" w:hAnsi="Aptos Narrow" w:cs="Times New Roman"/>
              </w:rPr>
            </w:pPr>
          </w:p>
          <w:p w14:paraId="6BF69BD1" w14:textId="68E185DB" w:rsidR="00881684" w:rsidRPr="0061663C" w:rsidRDefault="00881684"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rPr>
              <w:t>- Warranty: 12 Months.</w:t>
            </w:r>
          </w:p>
        </w:tc>
        <w:tc>
          <w:tcPr>
            <w:tcW w:w="1890" w:type="dxa"/>
            <w:tcBorders>
              <w:top w:val="single" w:sz="4" w:space="0" w:color="auto"/>
              <w:left w:val="nil"/>
              <w:bottom w:val="single" w:sz="4" w:space="0" w:color="auto"/>
              <w:right w:val="single" w:sz="4" w:space="0" w:color="auto"/>
            </w:tcBorders>
            <w:noWrap/>
            <w:vAlign w:val="center"/>
            <w:hideMark/>
          </w:tcPr>
          <w:p w14:paraId="6EC48BFF" w14:textId="77777777" w:rsidR="00A06A99" w:rsidRPr="0061663C" w:rsidRDefault="00A06A99" w:rsidP="00A06A99">
            <w:pPr>
              <w:spacing w:after="0" w:line="240" w:lineRule="auto"/>
              <w:jc w:val="center"/>
              <w:rPr>
                <w:rFonts w:ascii="Aptos Narrow" w:eastAsia="Times New Roman" w:hAnsi="Aptos Narrow" w:cs="Times New Roman"/>
              </w:rPr>
            </w:pPr>
            <w:r w:rsidRPr="0061663C">
              <w:rPr>
                <w:rFonts w:ascii="Aptos Narrow" w:eastAsia="Times New Roman" w:hAnsi="Aptos Narrow" w:cs="Times New Roman"/>
              </w:rPr>
              <w:t>Minimum: 1</w:t>
            </w:r>
          </w:p>
        </w:tc>
      </w:tr>
      <w:tr w:rsidR="00A06A99" w:rsidRPr="0061663C" w14:paraId="0B811AF0" w14:textId="77777777" w:rsidTr="00637158">
        <w:trPr>
          <w:trHeight w:val="600"/>
        </w:trPr>
        <w:tc>
          <w:tcPr>
            <w:tcW w:w="270" w:type="dxa"/>
            <w:tcBorders>
              <w:top w:val="nil"/>
              <w:left w:val="single" w:sz="8" w:space="0" w:color="auto"/>
              <w:bottom w:val="single" w:sz="4" w:space="0" w:color="auto"/>
              <w:right w:val="single" w:sz="4" w:space="0" w:color="auto"/>
            </w:tcBorders>
            <w:noWrap/>
            <w:vAlign w:val="center"/>
            <w:hideMark/>
          </w:tcPr>
          <w:p w14:paraId="5C3DA790" w14:textId="38DC946B" w:rsidR="00A06A99" w:rsidRPr="0061663C" w:rsidRDefault="00B40E18" w:rsidP="00A06A99">
            <w:pPr>
              <w:spacing w:after="0" w:line="240" w:lineRule="auto"/>
              <w:jc w:val="center"/>
              <w:rPr>
                <w:rFonts w:ascii="Aptos Narrow" w:eastAsia="Times New Roman" w:hAnsi="Aptos Narrow" w:cs="Times New Roman"/>
              </w:rPr>
            </w:pPr>
            <w:r w:rsidRPr="0061663C">
              <w:rPr>
                <w:rFonts w:ascii="Aptos Narrow" w:eastAsia="Times New Roman" w:hAnsi="Aptos Narrow" w:cs="Times New Roman"/>
              </w:rPr>
              <w:t>4</w:t>
            </w:r>
          </w:p>
        </w:tc>
        <w:tc>
          <w:tcPr>
            <w:tcW w:w="2700" w:type="dxa"/>
            <w:tcBorders>
              <w:top w:val="nil"/>
              <w:left w:val="nil"/>
              <w:bottom w:val="single" w:sz="4" w:space="0" w:color="auto"/>
              <w:right w:val="single" w:sz="4" w:space="0" w:color="auto"/>
            </w:tcBorders>
            <w:noWrap/>
            <w:vAlign w:val="center"/>
            <w:hideMark/>
          </w:tcPr>
          <w:p w14:paraId="445219D3" w14:textId="77777777" w:rsidR="00A06A99" w:rsidRPr="0061663C" w:rsidRDefault="00A06A99" w:rsidP="00A06A99">
            <w:pPr>
              <w:spacing w:after="0" w:line="240" w:lineRule="auto"/>
              <w:rPr>
                <w:rFonts w:ascii="Aptos Narrow" w:eastAsia="Times New Roman" w:hAnsi="Aptos Narrow" w:cs="Times New Roman"/>
                <w:u w:val="single"/>
              </w:rPr>
            </w:pPr>
            <w:proofErr w:type="spellStart"/>
            <w:r w:rsidRPr="0061663C">
              <w:rPr>
                <w:rFonts w:ascii="Aptos Narrow" w:eastAsia="Times New Roman" w:hAnsi="Aptos Narrow" w:cs="Times New Roman"/>
                <w:u w:val="single"/>
              </w:rPr>
              <w:t>MikroTik</w:t>
            </w:r>
            <w:proofErr w:type="spellEnd"/>
            <w:r w:rsidRPr="0061663C">
              <w:rPr>
                <w:rFonts w:ascii="Aptos Narrow" w:eastAsia="Times New Roman" w:hAnsi="Aptos Narrow" w:cs="Times New Roman"/>
                <w:u w:val="single"/>
              </w:rPr>
              <w:t xml:space="preserve"> 400G Switch</w:t>
            </w:r>
          </w:p>
        </w:tc>
        <w:tc>
          <w:tcPr>
            <w:tcW w:w="1620" w:type="dxa"/>
            <w:tcBorders>
              <w:top w:val="nil"/>
              <w:left w:val="nil"/>
              <w:bottom w:val="single" w:sz="4" w:space="0" w:color="auto"/>
              <w:right w:val="single" w:sz="4" w:space="0" w:color="auto"/>
            </w:tcBorders>
            <w:noWrap/>
            <w:vAlign w:val="center"/>
            <w:hideMark/>
          </w:tcPr>
          <w:p w14:paraId="1CB59DAE" w14:textId="77777777" w:rsidR="00A06A99" w:rsidRPr="0061663C" w:rsidRDefault="00A06A99"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rPr>
              <w:t>CRS804-4DDQ-hRM</w:t>
            </w:r>
          </w:p>
        </w:tc>
        <w:tc>
          <w:tcPr>
            <w:tcW w:w="4770" w:type="dxa"/>
            <w:tcBorders>
              <w:top w:val="nil"/>
              <w:left w:val="nil"/>
              <w:bottom w:val="single" w:sz="4" w:space="0" w:color="auto"/>
              <w:right w:val="single" w:sz="4" w:space="0" w:color="auto"/>
            </w:tcBorders>
            <w:vAlign w:val="center"/>
            <w:hideMark/>
          </w:tcPr>
          <w:p w14:paraId="59FDB12F" w14:textId="112315D1" w:rsidR="00A06A99" w:rsidRPr="0061663C" w:rsidRDefault="00A06A99"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rPr>
              <w:t xml:space="preserve">4x 400G QSFP-DD (breakout-capable to 2x200G per 400G port), 2x 10G RJ45, </w:t>
            </w:r>
            <w:proofErr w:type="spellStart"/>
            <w:r w:rsidRPr="0061663C">
              <w:rPr>
                <w:rFonts w:ascii="Aptos Narrow" w:eastAsia="Times New Roman" w:hAnsi="Aptos Narrow" w:cs="Times New Roman"/>
              </w:rPr>
              <w:t>RouterOS</w:t>
            </w:r>
            <w:proofErr w:type="spellEnd"/>
            <w:r w:rsidRPr="0061663C">
              <w:rPr>
                <w:rFonts w:ascii="Aptos Narrow" w:eastAsia="Times New Roman" w:hAnsi="Aptos Narrow" w:cs="Times New Roman"/>
              </w:rPr>
              <w:t xml:space="preserve"> v7, 1U, dual PSU.</w:t>
            </w:r>
          </w:p>
          <w:p w14:paraId="1D2301F6" w14:textId="77777777" w:rsidR="00684D10" w:rsidRPr="0061663C" w:rsidRDefault="00684D10" w:rsidP="00A06A99">
            <w:pPr>
              <w:spacing w:after="0" w:line="240" w:lineRule="auto"/>
              <w:rPr>
                <w:rFonts w:ascii="Aptos Narrow" w:eastAsia="Times New Roman" w:hAnsi="Aptos Narrow" w:cs="Times New Roman"/>
              </w:rPr>
            </w:pPr>
          </w:p>
          <w:p w14:paraId="7E6ED082" w14:textId="748345B1" w:rsidR="00881684" w:rsidRPr="0061663C" w:rsidRDefault="00881684"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rPr>
              <w:t>- Warranty: 12 Months.</w:t>
            </w:r>
          </w:p>
        </w:tc>
        <w:tc>
          <w:tcPr>
            <w:tcW w:w="1890" w:type="dxa"/>
            <w:tcBorders>
              <w:top w:val="nil"/>
              <w:left w:val="nil"/>
              <w:bottom w:val="single" w:sz="4" w:space="0" w:color="auto"/>
              <w:right w:val="single" w:sz="8" w:space="0" w:color="auto"/>
            </w:tcBorders>
            <w:noWrap/>
            <w:vAlign w:val="center"/>
            <w:hideMark/>
          </w:tcPr>
          <w:p w14:paraId="7C42032F" w14:textId="77777777" w:rsidR="00A06A99" w:rsidRPr="0061663C" w:rsidRDefault="00A06A99" w:rsidP="00A06A99">
            <w:pPr>
              <w:spacing w:after="0" w:line="240" w:lineRule="auto"/>
              <w:jc w:val="center"/>
              <w:rPr>
                <w:rFonts w:ascii="Aptos Narrow" w:eastAsia="Times New Roman" w:hAnsi="Aptos Narrow" w:cs="Times New Roman"/>
              </w:rPr>
            </w:pPr>
            <w:r w:rsidRPr="0061663C">
              <w:rPr>
                <w:rFonts w:ascii="Aptos Narrow" w:eastAsia="Times New Roman" w:hAnsi="Aptos Narrow" w:cs="Times New Roman"/>
              </w:rPr>
              <w:t>Minimum: 1</w:t>
            </w:r>
          </w:p>
        </w:tc>
      </w:tr>
      <w:tr w:rsidR="00A06A99" w:rsidRPr="0061663C" w14:paraId="32E72ED7" w14:textId="77777777" w:rsidTr="00637158">
        <w:trPr>
          <w:trHeight w:val="600"/>
        </w:trPr>
        <w:tc>
          <w:tcPr>
            <w:tcW w:w="270" w:type="dxa"/>
            <w:tcBorders>
              <w:top w:val="nil"/>
              <w:left w:val="single" w:sz="8" w:space="0" w:color="auto"/>
              <w:bottom w:val="single" w:sz="4" w:space="0" w:color="auto"/>
              <w:right w:val="single" w:sz="4" w:space="0" w:color="auto"/>
            </w:tcBorders>
            <w:noWrap/>
            <w:vAlign w:val="center"/>
            <w:hideMark/>
          </w:tcPr>
          <w:p w14:paraId="72F31C36" w14:textId="2810EC84" w:rsidR="00A06A99" w:rsidRPr="0061663C" w:rsidRDefault="00B40E18" w:rsidP="00A06A99">
            <w:pPr>
              <w:spacing w:after="0" w:line="240" w:lineRule="auto"/>
              <w:jc w:val="center"/>
              <w:rPr>
                <w:rFonts w:ascii="Aptos Narrow" w:eastAsia="Times New Roman" w:hAnsi="Aptos Narrow" w:cs="Times New Roman"/>
              </w:rPr>
            </w:pPr>
            <w:r w:rsidRPr="0061663C">
              <w:rPr>
                <w:rFonts w:ascii="Aptos Narrow" w:eastAsia="Times New Roman" w:hAnsi="Aptos Narrow" w:cs="Times New Roman"/>
              </w:rPr>
              <w:t>5</w:t>
            </w:r>
          </w:p>
        </w:tc>
        <w:tc>
          <w:tcPr>
            <w:tcW w:w="2700" w:type="dxa"/>
            <w:tcBorders>
              <w:top w:val="nil"/>
              <w:left w:val="nil"/>
              <w:bottom w:val="single" w:sz="4" w:space="0" w:color="auto"/>
              <w:right w:val="single" w:sz="4" w:space="0" w:color="auto"/>
            </w:tcBorders>
            <w:noWrap/>
            <w:vAlign w:val="center"/>
            <w:hideMark/>
          </w:tcPr>
          <w:p w14:paraId="738E3834" w14:textId="3EC92F28" w:rsidR="00A06A99" w:rsidRPr="0061663C" w:rsidRDefault="00A06A99" w:rsidP="00A06A99">
            <w:pPr>
              <w:spacing w:after="0" w:line="240" w:lineRule="auto"/>
              <w:rPr>
                <w:rFonts w:ascii="Aptos Narrow" w:eastAsia="Times New Roman" w:hAnsi="Aptos Narrow" w:cs="Times New Roman"/>
                <w:u w:val="single"/>
              </w:rPr>
            </w:pPr>
            <w:r w:rsidRPr="0061663C">
              <w:rPr>
                <w:rFonts w:ascii="Aptos Narrow" w:eastAsia="Times New Roman" w:hAnsi="Aptos Narrow" w:cs="Times New Roman"/>
                <w:u w:val="single"/>
              </w:rPr>
              <w:t>Mellanox 400GbE to 2x200GbE (QSFP-DD to 2xQSFP56) Direct Attach Copper (DAC) Splitter Cable</w:t>
            </w:r>
          </w:p>
        </w:tc>
        <w:tc>
          <w:tcPr>
            <w:tcW w:w="1620" w:type="dxa"/>
            <w:tcBorders>
              <w:top w:val="nil"/>
              <w:left w:val="nil"/>
              <w:bottom w:val="single" w:sz="4" w:space="0" w:color="auto"/>
              <w:right w:val="single" w:sz="4" w:space="0" w:color="auto"/>
            </w:tcBorders>
            <w:noWrap/>
            <w:vAlign w:val="center"/>
            <w:hideMark/>
          </w:tcPr>
          <w:p w14:paraId="320F1502" w14:textId="77777777" w:rsidR="00A06A99" w:rsidRPr="0061663C" w:rsidRDefault="00A06A99"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rPr>
              <w:t>MCP7H60-W001R30</w:t>
            </w:r>
          </w:p>
        </w:tc>
        <w:tc>
          <w:tcPr>
            <w:tcW w:w="4770" w:type="dxa"/>
            <w:tcBorders>
              <w:top w:val="nil"/>
              <w:left w:val="nil"/>
              <w:bottom w:val="single" w:sz="4" w:space="0" w:color="auto"/>
              <w:right w:val="single" w:sz="4" w:space="0" w:color="auto"/>
            </w:tcBorders>
            <w:vAlign w:val="center"/>
            <w:hideMark/>
          </w:tcPr>
          <w:p w14:paraId="34E3B2E3" w14:textId="77777777" w:rsidR="00A06A99" w:rsidRPr="0061663C" w:rsidRDefault="00A06A99"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rPr>
              <w:t>Mellanox® DAC splitter cable, 400GbE, 400Gb/s to 2x200Gb/s, QSFP-DD to 2xQSFP56, 1m, 30AWG.</w:t>
            </w:r>
          </w:p>
          <w:p w14:paraId="4EC18966" w14:textId="77777777" w:rsidR="00684D10" w:rsidRPr="0061663C" w:rsidRDefault="00684D10" w:rsidP="00A06A99">
            <w:pPr>
              <w:spacing w:after="0" w:line="240" w:lineRule="auto"/>
              <w:rPr>
                <w:rFonts w:ascii="Aptos Narrow" w:eastAsia="Times New Roman" w:hAnsi="Aptos Narrow" w:cs="Times New Roman"/>
              </w:rPr>
            </w:pPr>
          </w:p>
          <w:p w14:paraId="07A5B9C8" w14:textId="1E527A85" w:rsidR="00881684" w:rsidRPr="0061663C" w:rsidRDefault="00881684"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rPr>
              <w:t>- Warranty: 12 Months.</w:t>
            </w:r>
          </w:p>
        </w:tc>
        <w:tc>
          <w:tcPr>
            <w:tcW w:w="1890" w:type="dxa"/>
            <w:tcBorders>
              <w:top w:val="nil"/>
              <w:left w:val="nil"/>
              <w:bottom w:val="single" w:sz="4" w:space="0" w:color="auto"/>
              <w:right w:val="single" w:sz="8" w:space="0" w:color="auto"/>
            </w:tcBorders>
            <w:vAlign w:val="center"/>
            <w:hideMark/>
          </w:tcPr>
          <w:p w14:paraId="7BD4EF24" w14:textId="77777777" w:rsidR="00A06A99" w:rsidRPr="0061663C" w:rsidRDefault="00A06A99" w:rsidP="00A06A99">
            <w:pPr>
              <w:spacing w:after="0" w:line="240" w:lineRule="auto"/>
              <w:jc w:val="center"/>
              <w:rPr>
                <w:rFonts w:ascii="Aptos Narrow" w:eastAsia="Times New Roman" w:hAnsi="Aptos Narrow" w:cs="Times New Roman"/>
              </w:rPr>
            </w:pPr>
            <w:r w:rsidRPr="0061663C">
              <w:rPr>
                <w:rFonts w:ascii="Aptos Narrow" w:eastAsia="Times New Roman" w:hAnsi="Aptos Narrow" w:cs="Times New Roman"/>
              </w:rPr>
              <w:t>Minimum: 4</w:t>
            </w:r>
            <w:r w:rsidRPr="0061663C">
              <w:rPr>
                <w:rFonts w:ascii="Aptos Narrow" w:eastAsia="Times New Roman" w:hAnsi="Aptos Narrow" w:cs="Times New Roman"/>
              </w:rPr>
              <w:br/>
              <w:t>Optionally: 4+2</w:t>
            </w:r>
          </w:p>
        </w:tc>
      </w:tr>
      <w:tr w:rsidR="00A06A99" w:rsidRPr="0061663C" w14:paraId="53B9B6B9" w14:textId="77777777" w:rsidTr="00637158">
        <w:trPr>
          <w:trHeight w:val="300"/>
        </w:trPr>
        <w:tc>
          <w:tcPr>
            <w:tcW w:w="270" w:type="dxa"/>
            <w:tcBorders>
              <w:top w:val="nil"/>
              <w:left w:val="single" w:sz="8" w:space="0" w:color="auto"/>
              <w:bottom w:val="single" w:sz="4" w:space="0" w:color="auto"/>
              <w:right w:val="single" w:sz="4" w:space="0" w:color="auto"/>
            </w:tcBorders>
            <w:noWrap/>
            <w:vAlign w:val="center"/>
            <w:hideMark/>
          </w:tcPr>
          <w:p w14:paraId="69FCC432" w14:textId="52FE6E1D" w:rsidR="00A06A99" w:rsidRPr="0061663C" w:rsidRDefault="00B40E18" w:rsidP="00A06A99">
            <w:pPr>
              <w:spacing w:after="0" w:line="240" w:lineRule="auto"/>
              <w:jc w:val="center"/>
              <w:rPr>
                <w:rFonts w:ascii="Aptos Narrow" w:eastAsia="Times New Roman" w:hAnsi="Aptos Narrow" w:cs="Times New Roman"/>
              </w:rPr>
            </w:pPr>
            <w:r w:rsidRPr="0061663C">
              <w:rPr>
                <w:rFonts w:ascii="Aptos Narrow" w:eastAsia="Times New Roman" w:hAnsi="Aptos Narrow" w:cs="Times New Roman"/>
              </w:rPr>
              <w:t>6</w:t>
            </w:r>
          </w:p>
        </w:tc>
        <w:tc>
          <w:tcPr>
            <w:tcW w:w="2700" w:type="dxa"/>
            <w:tcBorders>
              <w:top w:val="nil"/>
              <w:left w:val="nil"/>
              <w:bottom w:val="single" w:sz="4" w:space="0" w:color="auto"/>
              <w:right w:val="single" w:sz="4" w:space="0" w:color="auto"/>
            </w:tcBorders>
            <w:noWrap/>
            <w:vAlign w:val="center"/>
            <w:hideMark/>
          </w:tcPr>
          <w:p w14:paraId="20FFA70E" w14:textId="5ACAD904" w:rsidR="00A06A99" w:rsidRPr="0061663C" w:rsidRDefault="00A06A99" w:rsidP="00A06A99">
            <w:pPr>
              <w:spacing w:after="0" w:line="240" w:lineRule="auto"/>
              <w:rPr>
                <w:rFonts w:ascii="Aptos Narrow" w:eastAsia="Times New Roman" w:hAnsi="Aptos Narrow" w:cs="Times New Roman"/>
                <w:u w:val="single"/>
              </w:rPr>
            </w:pPr>
            <w:r w:rsidRPr="0061663C">
              <w:rPr>
                <w:rFonts w:ascii="Aptos Narrow" w:eastAsia="Times New Roman" w:hAnsi="Aptos Narrow" w:cs="Times New Roman"/>
                <w:u w:val="single"/>
              </w:rPr>
              <w:t>NVIDIA ConnectX-7 Ethernet adapter card</w:t>
            </w:r>
          </w:p>
        </w:tc>
        <w:tc>
          <w:tcPr>
            <w:tcW w:w="1620" w:type="dxa"/>
            <w:tcBorders>
              <w:top w:val="nil"/>
              <w:left w:val="nil"/>
              <w:bottom w:val="single" w:sz="4" w:space="0" w:color="auto"/>
              <w:right w:val="single" w:sz="4" w:space="0" w:color="auto"/>
            </w:tcBorders>
            <w:noWrap/>
            <w:vAlign w:val="center"/>
            <w:hideMark/>
          </w:tcPr>
          <w:p w14:paraId="0AB8855A" w14:textId="77777777" w:rsidR="00A06A99" w:rsidRPr="0061663C" w:rsidRDefault="00A06A99"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rPr>
              <w:t>MCX755106AS-HEAT</w:t>
            </w:r>
          </w:p>
        </w:tc>
        <w:tc>
          <w:tcPr>
            <w:tcW w:w="4770" w:type="dxa"/>
            <w:tcBorders>
              <w:top w:val="nil"/>
              <w:left w:val="nil"/>
              <w:bottom w:val="single" w:sz="4" w:space="0" w:color="auto"/>
              <w:right w:val="single" w:sz="4" w:space="0" w:color="auto"/>
            </w:tcBorders>
            <w:vAlign w:val="center"/>
            <w:hideMark/>
          </w:tcPr>
          <w:p w14:paraId="343732B8" w14:textId="77777777" w:rsidR="00A06A99" w:rsidRPr="0061663C" w:rsidRDefault="00A06A99"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rPr>
              <w:t>Dual QSFP112 (backward compatible QSFP56), 200GbE, PCIe 5.0 x16, HHHL.</w:t>
            </w:r>
          </w:p>
          <w:p w14:paraId="11B8006B" w14:textId="77777777" w:rsidR="00684D10" w:rsidRPr="0061663C" w:rsidRDefault="00684D10" w:rsidP="00A06A99">
            <w:pPr>
              <w:spacing w:after="0" w:line="240" w:lineRule="auto"/>
              <w:rPr>
                <w:rFonts w:ascii="Aptos Narrow" w:eastAsia="Times New Roman" w:hAnsi="Aptos Narrow" w:cs="Times New Roman"/>
              </w:rPr>
            </w:pPr>
          </w:p>
          <w:p w14:paraId="63E08930" w14:textId="44A18274" w:rsidR="005A58BA" w:rsidRPr="0061663C" w:rsidRDefault="005A58BA"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rPr>
              <w:t>- Warranty: 12 Months.</w:t>
            </w:r>
          </w:p>
        </w:tc>
        <w:tc>
          <w:tcPr>
            <w:tcW w:w="1890" w:type="dxa"/>
            <w:tcBorders>
              <w:top w:val="nil"/>
              <w:left w:val="nil"/>
              <w:bottom w:val="single" w:sz="4" w:space="0" w:color="auto"/>
              <w:right w:val="single" w:sz="8" w:space="0" w:color="auto"/>
            </w:tcBorders>
            <w:noWrap/>
            <w:vAlign w:val="center"/>
            <w:hideMark/>
          </w:tcPr>
          <w:p w14:paraId="37FBD8D2" w14:textId="77777777" w:rsidR="00A06A99" w:rsidRPr="0061663C" w:rsidRDefault="00A06A99" w:rsidP="00A06A99">
            <w:pPr>
              <w:spacing w:after="0" w:line="240" w:lineRule="auto"/>
              <w:jc w:val="center"/>
              <w:rPr>
                <w:rFonts w:ascii="Aptos Narrow" w:eastAsia="Times New Roman" w:hAnsi="Aptos Narrow" w:cs="Times New Roman"/>
              </w:rPr>
            </w:pPr>
            <w:r w:rsidRPr="0061663C">
              <w:rPr>
                <w:rFonts w:ascii="Aptos Narrow" w:eastAsia="Times New Roman" w:hAnsi="Aptos Narrow" w:cs="Times New Roman"/>
              </w:rPr>
              <w:t>Minimum: 1</w:t>
            </w:r>
          </w:p>
        </w:tc>
      </w:tr>
      <w:tr w:rsidR="00A06A99" w:rsidRPr="0061663C" w14:paraId="16592D8B" w14:textId="77777777" w:rsidTr="00637158">
        <w:trPr>
          <w:trHeight w:val="315"/>
        </w:trPr>
        <w:tc>
          <w:tcPr>
            <w:tcW w:w="270" w:type="dxa"/>
            <w:tcBorders>
              <w:top w:val="nil"/>
              <w:left w:val="single" w:sz="8" w:space="0" w:color="auto"/>
              <w:bottom w:val="single" w:sz="8" w:space="0" w:color="auto"/>
              <w:right w:val="single" w:sz="4" w:space="0" w:color="auto"/>
            </w:tcBorders>
            <w:noWrap/>
            <w:vAlign w:val="center"/>
            <w:hideMark/>
          </w:tcPr>
          <w:p w14:paraId="16A3A729" w14:textId="0F88DA9F" w:rsidR="00A06A99" w:rsidRPr="0061663C" w:rsidRDefault="00B40E18" w:rsidP="00A06A99">
            <w:pPr>
              <w:spacing w:after="0" w:line="240" w:lineRule="auto"/>
              <w:jc w:val="center"/>
              <w:rPr>
                <w:rFonts w:ascii="Aptos Narrow" w:eastAsia="Times New Roman" w:hAnsi="Aptos Narrow" w:cs="Times New Roman"/>
              </w:rPr>
            </w:pPr>
            <w:r w:rsidRPr="0061663C">
              <w:rPr>
                <w:rFonts w:ascii="Aptos Narrow" w:eastAsia="Times New Roman" w:hAnsi="Aptos Narrow" w:cs="Times New Roman"/>
              </w:rPr>
              <w:t>7</w:t>
            </w:r>
          </w:p>
        </w:tc>
        <w:tc>
          <w:tcPr>
            <w:tcW w:w="2700" w:type="dxa"/>
            <w:tcBorders>
              <w:top w:val="nil"/>
              <w:left w:val="nil"/>
              <w:bottom w:val="single" w:sz="8" w:space="0" w:color="auto"/>
              <w:right w:val="single" w:sz="4" w:space="0" w:color="auto"/>
            </w:tcBorders>
            <w:noWrap/>
            <w:vAlign w:val="center"/>
            <w:hideMark/>
          </w:tcPr>
          <w:p w14:paraId="1F507C1B" w14:textId="77777777" w:rsidR="00A06A99" w:rsidRPr="0061663C" w:rsidRDefault="00A06A99" w:rsidP="00A06A99">
            <w:pPr>
              <w:spacing w:after="0" w:line="240" w:lineRule="auto"/>
              <w:rPr>
                <w:rFonts w:ascii="Aptos Narrow" w:eastAsia="Times New Roman" w:hAnsi="Aptos Narrow" w:cs="Times New Roman"/>
                <w:u w:val="single"/>
              </w:rPr>
            </w:pPr>
            <w:r w:rsidRPr="0061663C">
              <w:rPr>
                <w:rFonts w:ascii="Aptos Narrow" w:eastAsia="Times New Roman" w:hAnsi="Aptos Narrow" w:cs="Times New Roman"/>
                <w:u w:val="single"/>
              </w:rPr>
              <w:t>HPE GPU Riser Kit</w:t>
            </w:r>
          </w:p>
        </w:tc>
        <w:tc>
          <w:tcPr>
            <w:tcW w:w="1620" w:type="dxa"/>
            <w:tcBorders>
              <w:top w:val="nil"/>
              <w:left w:val="nil"/>
              <w:bottom w:val="single" w:sz="8" w:space="0" w:color="auto"/>
              <w:right w:val="single" w:sz="4" w:space="0" w:color="auto"/>
            </w:tcBorders>
            <w:noWrap/>
            <w:vAlign w:val="center"/>
            <w:hideMark/>
          </w:tcPr>
          <w:p w14:paraId="6DB5D1BA" w14:textId="77777777" w:rsidR="00A06A99" w:rsidRPr="0061663C" w:rsidRDefault="00A06A99"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rPr>
              <w:t>826704-B21</w:t>
            </w:r>
          </w:p>
        </w:tc>
        <w:tc>
          <w:tcPr>
            <w:tcW w:w="4770" w:type="dxa"/>
            <w:tcBorders>
              <w:top w:val="nil"/>
              <w:left w:val="nil"/>
              <w:bottom w:val="single" w:sz="8" w:space="0" w:color="auto"/>
              <w:right w:val="single" w:sz="4" w:space="0" w:color="auto"/>
            </w:tcBorders>
            <w:vAlign w:val="center"/>
            <w:hideMark/>
          </w:tcPr>
          <w:p w14:paraId="0E4060CD" w14:textId="77777777" w:rsidR="00A06A99" w:rsidRPr="0061663C" w:rsidRDefault="00A06A99"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rPr>
              <w:t>DL38X Gen10 x16/x16, dual PCIe 3.0 slots, full-height full-length.</w:t>
            </w:r>
          </w:p>
          <w:p w14:paraId="78E1FFE6" w14:textId="77777777" w:rsidR="00684D10" w:rsidRPr="0061663C" w:rsidRDefault="00684D10" w:rsidP="00A06A99">
            <w:pPr>
              <w:spacing w:after="0" w:line="240" w:lineRule="auto"/>
              <w:rPr>
                <w:rFonts w:ascii="Aptos Narrow" w:eastAsia="Times New Roman" w:hAnsi="Aptos Narrow" w:cs="Times New Roman"/>
              </w:rPr>
            </w:pPr>
          </w:p>
          <w:p w14:paraId="733BB611" w14:textId="56CE4E46" w:rsidR="005A58BA" w:rsidRPr="0061663C" w:rsidRDefault="005A58BA" w:rsidP="00A06A99">
            <w:pPr>
              <w:spacing w:after="0" w:line="240" w:lineRule="auto"/>
              <w:rPr>
                <w:rFonts w:ascii="Aptos Narrow" w:eastAsia="Times New Roman" w:hAnsi="Aptos Narrow" w:cs="Times New Roman"/>
              </w:rPr>
            </w:pPr>
            <w:r w:rsidRPr="0061663C">
              <w:rPr>
                <w:rFonts w:ascii="Aptos Narrow" w:eastAsia="Times New Roman" w:hAnsi="Aptos Narrow" w:cs="Times New Roman"/>
              </w:rPr>
              <w:t>- Warranty: 12 Months.</w:t>
            </w:r>
          </w:p>
        </w:tc>
        <w:tc>
          <w:tcPr>
            <w:tcW w:w="1890" w:type="dxa"/>
            <w:tcBorders>
              <w:top w:val="nil"/>
              <w:left w:val="nil"/>
              <w:bottom w:val="single" w:sz="8" w:space="0" w:color="auto"/>
              <w:right w:val="single" w:sz="8" w:space="0" w:color="auto"/>
            </w:tcBorders>
            <w:noWrap/>
            <w:vAlign w:val="center"/>
            <w:hideMark/>
          </w:tcPr>
          <w:p w14:paraId="54C4A0C9" w14:textId="77777777" w:rsidR="00A06A99" w:rsidRPr="0061663C" w:rsidRDefault="00A06A99" w:rsidP="00A06A99">
            <w:pPr>
              <w:spacing w:after="0" w:line="240" w:lineRule="auto"/>
              <w:jc w:val="center"/>
              <w:rPr>
                <w:rFonts w:ascii="Aptos Narrow" w:eastAsia="Times New Roman" w:hAnsi="Aptos Narrow" w:cs="Times New Roman"/>
              </w:rPr>
            </w:pPr>
            <w:r w:rsidRPr="0061663C">
              <w:rPr>
                <w:rFonts w:ascii="Aptos Narrow" w:eastAsia="Times New Roman" w:hAnsi="Aptos Narrow" w:cs="Times New Roman"/>
              </w:rPr>
              <w:t>Minimum: 1</w:t>
            </w:r>
          </w:p>
        </w:tc>
      </w:tr>
    </w:tbl>
    <w:p w14:paraId="4DE6AB47" w14:textId="77777777" w:rsidR="003B4518" w:rsidRPr="0061663C" w:rsidRDefault="003B4518"/>
    <w:p w14:paraId="453DC434" w14:textId="6A482250" w:rsidR="003B4518" w:rsidRPr="0061663C" w:rsidRDefault="007D45BC" w:rsidP="003B4518">
      <w:pPr>
        <w:ind w:hanging="851"/>
        <w:rPr>
          <w:b/>
          <w:bCs/>
          <w:u w:val="single"/>
        </w:rPr>
      </w:pPr>
      <w:r w:rsidRPr="0061663C">
        <w:rPr>
          <w:b/>
          <w:bCs/>
          <w:u w:val="single"/>
        </w:rPr>
        <w:t>General Requirements</w:t>
      </w:r>
      <w:r w:rsidR="00142326" w:rsidRPr="0061663C">
        <w:rPr>
          <w:b/>
          <w:bCs/>
          <w:u w:val="single"/>
        </w:rPr>
        <w:t>:</w:t>
      </w:r>
    </w:p>
    <w:p w14:paraId="225A936F" w14:textId="49A4F9A1" w:rsidR="00DE5BA3" w:rsidRPr="0061663C" w:rsidRDefault="00503F19" w:rsidP="0061663C">
      <w:pPr>
        <w:pStyle w:val="ListParagraph"/>
        <w:numPr>
          <w:ilvl w:val="0"/>
          <w:numId w:val="3"/>
        </w:numPr>
        <w:jc w:val="both"/>
      </w:pPr>
      <w:r w:rsidRPr="0061663C">
        <w:t>Suppliers shall quote the exact items specified in the table above. Alternative products, or equivalent models will not be accepted.</w:t>
      </w:r>
    </w:p>
    <w:p w14:paraId="6F495B84" w14:textId="485415AB" w:rsidR="00142326" w:rsidRPr="000E0598" w:rsidRDefault="00EB4EAF" w:rsidP="0061663C">
      <w:pPr>
        <w:pStyle w:val="ListParagraph"/>
        <w:numPr>
          <w:ilvl w:val="0"/>
          <w:numId w:val="3"/>
        </w:numPr>
        <w:jc w:val="both"/>
      </w:pPr>
      <w:r w:rsidRPr="0061663C">
        <w:t>A minimum warranty period of twelve (12) months is required for each item, starting from the date of delivery and acceptance. The warranty shall cover repair or replacement of defective materials, components, and workmanship at no additional cost, including all subcomponents and accessories.</w:t>
      </w:r>
      <w:r w:rsidRPr="0061663C">
        <w:br/>
        <w:t xml:space="preserve">In the event of a defect, the supplier shall initiate and manage the RMA process. The total RMA resolution time, from the date of defect notification to final delivery of the repaired or replacement item, shall not exceed sixty </w:t>
      </w:r>
      <w:r w:rsidRPr="000E0598">
        <w:t>(60) calendar days. If repair or replacement cannot be completed within this period, the supplier shall provide a temporary replacement or an equivalent solution acceptable to the buyer, at no additional cost.</w:t>
      </w:r>
    </w:p>
    <w:p w14:paraId="28BC15A2" w14:textId="09A9DD73" w:rsidR="00D12E36" w:rsidRPr="000E0598" w:rsidRDefault="0025764F" w:rsidP="0061663C">
      <w:pPr>
        <w:pStyle w:val="ListParagraph"/>
        <w:numPr>
          <w:ilvl w:val="0"/>
          <w:numId w:val="3"/>
        </w:numPr>
        <w:jc w:val="both"/>
      </w:pPr>
      <w:r w:rsidRPr="000E0598">
        <w:t xml:space="preserve">The supplier shall confirm the availability of post-sales maintenance and technical support services for Items 1, 2, 3, and 4 (NVIDIA DGX Spark Bundle, NVIDIA DGX Spark Unit, Dell Pro Max with GB10, and </w:t>
      </w:r>
      <w:proofErr w:type="spellStart"/>
      <w:r w:rsidRPr="000E0598">
        <w:t>MikroTik</w:t>
      </w:r>
      <w:proofErr w:type="spellEnd"/>
      <w:r w:rsidRPr="000E0598">
        <w:t xml:space="preserve"> 400G Switch). Such services may be provided on a fee-for-service basis, with pricing to be quoted upon request. </w:t>
      </w:r>
      <w:r w:rsidR="00E80388" w:rsidRPr="000E0598">
        <w:rPr>
          <w:lang w:val="en-US"/>
        </w:rPr>
        <w:t xml:space="preserve">Confirmation of the availability of such services shall be provided in Annex </w:t>
      </w:r>
      <w:r w:rsidR="000E0598" w:rsidRPr="000E0598">
        <w:rPr>
          <w:lang w:val="en-US"/>
        </w:rPr>
        <w:t xml:space="preserve">B and </w:t>
      </w:r>
      <w:r w:rsidR="00E80388" w:rsidRPr="000E0598">
        <w:rPr>
          <w:lang w:val="en-US"/>
        </w:rPr>
        <w:t xml:space="preserve">C. Such services </w:t>
      </w:r>
      <w:proofErr w:type="gramStart"/>
      <w:r w:rsidR="00E80388" w:rsidRPr="000E0598">
        <w:rPr>
          <w:lang w:val="en-US"/>
        </w:rPr>
        <w:t>shall</w:t>
      </w:r>
      <w:proofErr w:type="gramEnd"/>
      <w:r w:rsidR="00E80388" w:rsidRPr="000E0598">
        <w:rPr>
          <w:lang w:val="en-US"/>
        </w:rPr>
        <w:t xml:space="preserve"> be available for a period of two (2) years from the date of delivery.</w:t>
      </w:r>
    </w:p>
    <w:sectPr w:rsidR="00D12E36" w:rsidRPr="000E0598" w:rsidSect="00D71B8F">
      <w:pgSz w:w="12240" w:h="15840"/>
      <w:pgMar w:top="540" w:right="144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D2333"/>
    <w:multiLevelType w:val="hybridMultilevel"/>
    <w:tmpl w:val="DEBA3FC0"/>
    <w:lvl w:ilvl="0" w:tplc="1EF27C56">
      <w:start w:val="1"/>
      <w:numFmt w:val="bullet"/>
      <w:lvlText w:val=""/>
      <w:lvlJc w:val="left"/>
      <w:pPr>
        <w:ind w:left="720" w:hanging="360"/>
      </w:pPr>
      <w:rPr>
        <w:rFonts w:ascii="Wingdings" w:hAnsi="Wingdings"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4A196D4B"/>
    <w:multiLevelType w:val="hybridMultilevel"/>
    <w:tmpl w:val="A3EE8DF2"/>
    <w:lvl w:ilvl="0" w:tplc="04090001">
      <w:start w:val="1"/>
      <w:numFmt w:val="bullet"/>
      <w:lvlText w:val=""/>
      <w:lvlJc w:val="left"/>
      <w:pPr>
        <w:ind w:left="720" w:hanging="360"/>
      </w:pPr>
      <w:rPr>
        <w:rFonts w:ascii="Symbol" w:hAnsi="Symbol" w:hint="default"/>
        <w:color w:val="000000" w:themeColor="text1"/>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7F663583"/>
    <w:multiLevelType w:val="hybridMultilevel"/>
    <w:tmpl w:val="D09C948E"/>
    <w:lvl w:ilvl="0" w:tplc="C2FA81F4">
      <w:start w:val="1"/>
      <w:numFmt w:val="decimal"/>
      <w:lvlText w:val="%1)"/>
      <w:lvlJc w:val="left"/>
      <w:pPr>
        <w:ind w:left="-491" w:hanging="360"/>
      </w:pPr>
      <w:rPr>
        <w:rFonts w:hint="default"/>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num w:numId="1" w16cid:durableId="515778120">
    <w:abstractNumId w:val="0"/>
  </w:num>
  <w:num w:numId="2" w16cid:durableId="550193979">
    <w:abstractNumId w:val="1"/>
  </w:num>
  <w:num w:numId="3" w16cid:durableId="6482424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545"/>
    <w:rsid w:val="00030D96"/>
    <w:rsid w:val="00077C9F"/>
    <w:rsid w:val="00084838"/>
    <w:rsid w:val="00095EF0"/>
    <w:rsid w:val="000A5AC0"/>
    <w:rsid w:val="000C3A3F"/>
    <w:rsid w:val="000C5FF3"/>
    <w:rsid w:val="000E0598"/>
    <w:rsid w:val="00105D0E"/>
    <w:rsid w:val="00117D56"/>
    <w:rsid w:val="00142326"/>
    <w:rsid w:val="001B0BED"/>
    <w:rsid w:val="001F2B7B"/>
    <w:rsid w:val="00221687"/>
    <w:rsid w:val="0025764F"/>
    <w:rsid w:val="002726AB"/>
    <w:rsid w:val="00277FE9"/>
    <w:rsid w:val="002E7993"/>
    <w:rsid w:val="003078EA"/>
    <w:rsid w:val="00312A93"/>
    <w:rsid w:val="0034027E"/>
    <w:rsid w:val="00353B1A"/>
    <w:rsid w:val="003B4518"/>
    <w:rsid w:val="003E4A13"/>
    <w:rsid w:val="004111CB"/>
    <w:rsid w:val="00484956"/>
    <w:rsid w:val="004D2E83"/>
    <w:rsid w:val="004D5473"/>
    <w:rsid w:val="00503F19"/>
    <w:rsid w:val="00512E79"/>
    <w:rsid w:val="00544F25"/>
    <w:rsid w:val="005A58BA"/>
    <w:rsid w:val="006120CF"/>
    <w:rsid w:val="0061663C"/>
    <w:rsid w:val="006328CE"/>
    <w:rsid w:val="00637158"/>
    <w:rsid w:val="00670F97"/>
    <w:rsid w:val="00673371"/>
    <w:rsid w:val="0067650B"/>
    <w:rsid w:val="00684D10"/>
    <w:rsid w:val="00693789"/>
    <w:rsid w:val="0075017D"/>
    <w:rsid w:val="007827BA"/>
    <w:rsid w:val="007877F8"/>
    <w:rsid w:val="007A18CE"/>
    <w:rsid w:val="007A48ED"/>
    <w:rsid w:val="007C6449"/>
    <w:rsid w:val="007D45BC"/>
    <w:rsid w:val="00817A62"/>
    <w:rsid w:val="00833609"/>
    <w:rsid w:val="00881684"/>
    <w:rsid w:val="00894017"/>
    <w:rsid w:val="0090517F"/>
    <w:rsid w:val="009078F8"/>
    <w:rsid w:val="00914E2D"/>
    <w:rsid w:val="009335F6"/>
    <w:rsid w:val="0099152E"/>
    <w:rsid w:val="009A5C3D"/>
    <w:rsid w:val="00A06A99"/>
    <w:rsid w:val="00A85545"/>
    <w:rsid w:val="00AB4A1B"/>
    <w:rsid w:val="00AF22CD"/>
    <w:rsid w:val="00AF603C"/>
    <w:rsid w:val="00B13483"/>
    <w:rsid w:val="00B40E18"/>
    <w:rsid w:val="00B52716"/>
    <w:rsid w:val="00B84E1E"/>
    <w:rsid w:val="00B951FD"/>
    <w:rsid w:val="00BB69B9"/>
    <w:rsid w:val="00BC6DD4"/>
    <w:rsid w:val="00BE6816"/>
    <w:rsid w:val="00C23583"/>
    <w:rsid w:val="00C426E8"/>
    <w:rsid w:val="00C455B7"/>
    <w:rsid w:val="00D12E36"/>
    <w:rsid w:val="00D71B8F"/>
    <w:rsid w:val="00DE5BA3"/>
    <w:rsid w:val="00DE6E8F"/>
    <w:rsid w:val="00DF6C93"/>
    <w:rsid w:val="00E44DF7"/>
    <w:rsid w:val="00E70BC5"/>
    <w:rsid w:val="00E80388"/>
    <w:rsid w:val="00E906D0"/>
    <w:rsid w:val="00E91F33"/>
    <w:rsid w:val="00E94452"/>
    <w:rsid w:val="00E95EBF"/>
    <w:rsid w:val="00EB4EAF"/>
    <w:rsid w:val="00EE6548"/>
    <w:rsid w:val="00F03DA7"/>
    <w:rsid w:val="00F12071"/>
    <w:rsid w:val="00F17BA8"/>
    <w:rsid w:val="00F23EAD"/>
    <w:rsid w:val="00F53999"/>
    <w:rsid w:val="00F57E4C"/>
    <w:rsid w:val="00F76C64"/>
    <w:rsid w:val="00F866F4"/>
    <w:rsid w:val="00FC0CE7"/>
    <w:rsid w:val="00FC5630"/>
    <w:rsid w:val="00FC6A58"/>
    <w:rsid w:val="00FF16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CE24C"/>
  <w15:chartTrackingRefBased/>
  <w15:docId w15:val="{3314DA16-1C55-496B-91A1-503B6409A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55B7"/>
    <w:pPr>
      <w:spacing w:line="256" w:lineRule="auto"/>
      <w:ind w:left="720"/>
      <w:contextualSpacing/>
    </w:pPr>
    <w:rPr>
      <w:lang w:val="en-GB"/>
    </w:rPr>
  </w:style>
  <w:style w:type="character" w:styleId="Hyperlink">
    <w:name w:val="Hyperlink"/>
    <w:basedOn w:val="DefaultParagraphFont"/>
    <w:uiPriority w:val="99"/>
    <w:unhideWhenUsed/>
    <w:rsid w:val="00FF16A1"/>
    <w:rPr>
      <w:color w:val="0563C1" w:themeColor="hyperlink"/>
      <w:u w:val="single"/>
    </w:rPr>
  </w:style>
  <w:style w:type="character" w:styleId="UnresolvedMention">
    <w:name w:val="Unresolved Mention"/>
    <w:basedOn w:val="DefaultParagraphFont"/>
    <w:uiPriority w:val="99"/>
    <w:semiHidden/>
    <w:unhideWhenUsed/>
    <w:rsid w:val="00FF16A1"/>
    <w:rPr>
      <w:color w:val="605E5C"/>
      <w:shd w:val="clear" w:color="auto" w:fill="E1DFDD"/>
    </w:rPr>
  </w:style>
  <w:style w:type="character" w:styleId="FollowedHyperlink">
    <w:name w:val="FollowedHyperlink"/>
    <w:basedOn w:val="DefaultParagraphFont"/>
    <w:uiPriority w:val="99"/>
    <w:semiHidden/>
    <w:unhideWhenUsed/>
    <w:rsid w:val="00FF16A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576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1C01D5A1CCB54CAAFE93832D7D45CC" ma:contentTypeVersion="20" ma:contentTypeDescription="Create a new document." ma:contentTypeScope="" ma:versionID="0c4437548e6d31e9b75c4ce9f81d34c9">
  <xsd:schema xmlns:xsd="http://www.w3.org/2001/XMLSchema" xmlns:xs="http://www.w3.org/2001/XMLSchema" xmlns:p="http://schemas.microsoft.com/office/2006/metadata/properties" xmlns:ns2="0e7c44ca-6a5d-4766-a7d2-62e9ff2a510a" xmlns:ns3="c96f6efb-c6ae-4747-aaae-bd7e9f5f18b6" targetNamespace="http://schemas.microsoft.com/office/2006/metadata/properties" ma:root="true" ma:fieldsID="447febc3223994b6b97f96bc042cbc6c" ns2:_="" ns3:_="">
    <xsd:import namespace="0e7c44ca-6a5d-4766-a7d2-62e9ff2a510a"/>
    <xsd:import namespace="c96f6efb-c6ae-4747-aaae-bd7e9f5f18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3:Lookup" minOccurs="0"/>
                <xsd:element ref="ns3:Lookup_x003a_Modified"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7c44ca-6a5d-4766-a7d2-62e9ff2a51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180850b-c11a-4fd6-94b7-50d06466dd68}" ma:internalName="TaxCatchAll" ma:showField="CatchAllData" ma:web="0e7c44ca-6a5d-4766-a7d2-62e9ff2a51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6f6efb-c6ae-4747-aaae-bd7e9f5f18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ookup" ma:index="20" nillable="true" ma:displayName="Lookup" ma:list="{c96f6efb-c6ae-4747-aaae-bd7e9f5f18b6}" ma:internalName="Lookup" ma:showField="Title">
      <xsd:simpleType>
        <xsd:restriction base="dms:Lookup"/>
      </xsd:simpleType>
    </xsd:element>
    <xsd:element name="Lookup_x003a_Modified" ma:index="21" nillable="true" ma:displayName="Lookup:Modified" ma:list="{c96f6efb-c6ae-4747-aaae-bd7e9f5f18b6}" ma:internalName="Lookup_x003a_Modified" ma:readOnly="true" ma:showField="Modified" ma:web="0e7c44ca-6a5d-4766-a7d2-62e9ff2a510a">
      <xsd:simpleType>
        <xsd:restriction base="dms:Lookup"/>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96f6efb-c6ae-4747-aaae-bd7e9f5f18b6">
      <Terms xmlns="http://schemas.microsoft.com/office/infopath/2007/PartnerControls"/>
    </lcf76f155ced4ddcb4097134ff3c332f>
    <TaxCatchAll xmlns="0e7c44ca-6a5d-4766-a7d2-62e9ff2a510a" xsi:nil="true"/>
    <Lookup xmlns="c96f6efb-c6ae-4747-aaae-bd7e9f5f18b6" xsi:nil="true"/>
  </documentManagement>
</p:properties>
</file>

<file path=customXml/itemProps1.xml><?xml version="1.0" encoding="utf-8"?>
<ds:datastoreItem xmlns:ds="http://schemas.openxmlformats.org/officeDocument/2006/customXml" ds:itemID="{18364CD5-CE0B-4949-BBD9-35CD67EA1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7c44ca-6a5d-4766-a7d2-62e9ff2a510a"/>
    <ds:schemaRef ds:uri="c96f6efb-c6ae-4747-aaae-bd7e9f5f18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AD6CB-9B0C-4119-AE99-9FAA8E3EE421}">
  <ds:schemaRefs>
    <ds:schemaRef ds:uri="http://schemas.microsoft.com/sharepoint/v3/contenttype/forms"/>
  </ds:schemaRefs>
</ds:datastoreItem>
</file>

<file path=customXml/itemProps3.xml><?xml version="1.0" encoding="utf-8"?>
<ds:datastoreItem xmlns:ds="http://schemas.openxmlformats.org/officeDocument/2006/customXml" ds:itemID="{5185683D-59DA-4FA1-ADC4-63237E86A17B}">
  <ds:schemaRefs>
    <ds:schemaRef ds:uri="http://schemas.microsoft.com/office/2006/metadata/properties"/>
    <ds:schemaRef ds:uri="http://schemas.microsoft.com/office/infopath/2007/PartnerControls"/>
    <ds:schemaRef ds:uri="c96f6efb-c6ae-4747-aaae-bd7e9f5f18b6"/>
    <ds:schemaRef ds:uri="0e7c44ca-6a5d-4766-a7d2-62e9ff2a510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716</Words>
  <Characters>3791</Characters>
  <Application>Microsoft Office Word</Application>
  <DocSecurity>0</DocSecurity>
  <Lines>157</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 Jarbou</dc:creator>
  <cp:keywords/>
  <dc:description/>
  <cp:lastModifiedBy>Shadi Jarbou</cp:lastModifiedBy>
  <cp:revision>3</cp:revision>
  <dcterms:created xsi:type="dcterms:W3CDTF">2026-06-08T08:05:00Z</dcterms:created>
  <dcterms:modified xsi:type="dcterms:W3CDTF">2026-06-08T08:10:00Z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0x010100991C01D5A1CCB54CAAFE93832D7D45CC</vt:lpwstr>
  </property>
  <property fmtid="{D5CDD505-2E9C-101B-9397-08002B2CF9AE}" pid="3" name="MediaServiceImageTags">
    <vt:lpwstr/>
  </property>
</Properties>
</file>